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F05C5" w14:textId="2ECC8939" w:rsidR="0016796E" w:rsidRPr="0016796E" w:rsidRDefault="0016796E" w:rsidP="0016796E">
      <w:pPr>
        <w:spacing w:line="360" w:lineRule="auto"/>
        <w:jc w:val="both"/>
        <w:rPr>
          <w:rFonts w:eastAsiaTheme="majorEastAsia"/>
        </w:rPr>
      </w:pPr>
      <w:r w:rsidRPr="0016796E">
        <w:rPr>
          <w:rFonts w:eastAsiaTheme="majorEastAsia"/>
        </w:rPr>
        <w:t>Projeto de Lei nº 30</w:t>
      </w:r>
      <w:r w:rsidR="00272AB0">
        <w:rPr>
          <w:rFonts w:eastAsiaTheme="majorEastAsia"/>
        </w:rPr>
        <w:t>72</w:t>
      </w:r>
      <w:r w:rsidRPr="0016796E">
        <w:rPr>
          <w:rFonts w:eastAsiaTheme="majorEastAsia"/>
        </w:rPr>
        <w:t xml:space="preserve">, de </w:t>
      </w:r>
      <w:r w:rsidR="00272AB0">
        <w:rPr>
          <w:rFonts w:eastAsiaTheme="majorEastAsia"/>
        </w:rPr>
        <w:t>19</w:t>
      </w:r>
      <w:r w:rsidRPr="0016796E">
        <w:rPr>
          <w:rFonts w:eastAsiaTheme="majorEastAsia"/>
        </w:rPr>
        <w:t xml:space="preserve"> de </w:t>
      </w:r>
      <w:r w:rsidR="008B52A8">
        <w:rPr>
          <w:rFonts w:eastAsiaTheme="majorEastAsia"/>
        </w:rPr>
        <w:t xml:space="preserve">setembro </w:t>
      </w:r>
      <w:r w:rsidRPr="0016796E">
        <w:rPr>
          <w:rFonts w:eastAsiaTheme="majorEastAsia"/>
        </w:rPr>
        <w:t>de 2025.</w:t>
      </w:r>
    </w:p>
    <w:p w14:paraId="7C5D1FB1" w14:textId="77777777" w:rsidR="0016796E" w:rsidRPr="0016796E" w:rsidRDefault="0016796E" w:rsidP="0016796E">
      <w:pPr>
        <w:spacing w:line="360" w:lineRule="auto"/>
        <w:ind w:firstLine="2835"/>
        <w:jc w:val="both"/>
        <w:rPr>
          <w:rFonts w:eastAsiaTheme="majorEastAsia"/>
          <w:b/>
          <w:bCs/>
        </w:rPr>
      </w:pPr>
    </w:p>
    <w:p w14:paraId="1B95D44C" w14:textId="77777777" w:rsidR="0016796E" w:rsidRPr="0016796E" w:rsidRDefault="0016796E" w:rsidP="0016796E">
      <w:pPr>
        <w:spacing w:line="360" w:lineRule="auto"/>
        <w:ind w:firstLine="2835"/>
        <w:jc w:val="both"/>
        <w:rPr>
          <w:rFonts w:eastAsiaTheme="majorEastAsia"/>
          <w:b/>
          <w:bCs/>
        </w:rPr>
      </w:pPr>
    </w:p>
    <w:p w14:paraId="5DFE18FC" w14:textId="77777777" w:rsidR="0016796E" w:rsidRPr="0016796E" w:rsidRDefault="0016796E" w:rsidP="0016796E">
      <w:pPr>
        <w:spacing w:line="360" w:lineRule="auto"/>
        <w:ind w:firstLine="2835"/>
        <w:jc w:val="both"/>
        <w:rPr>
          <w:rFonts w:eastAsiaTheme="majorEastAsia"/>
          <w:b/>
          <w:bCs/>
        </w:rPr>
      </w:pPr>
    </w:p>
    <w:p w14:paraId="78117048" w14:textId="6EFE4C22" w:rsidR="0016796E" w:rsidRPr="0016796E" w:rsidRDefault="0016796E" w:rsidP="0016796E">
      <w:pPr>
        <w:spacing w:line="360" w:lineRule="auto"/>
        <w:ind w:left="3540"/>
        <w:jc w:val="both"/>
        <w:rPr>
          <w:rFonts w:eastAsiaTheme="majorEastAsia"/>
          <w:b/>
          <w:bCs/>
        </w:rPr>
      </w:pPr>
      <w:r w:rsidRPr="0016796E">
        <w:rPr>
          <w:rFonts w:eastAsiaTheme="majorEastAsia"/>
          <w:b/>
          <w:bCs/>
        </w:rPr>
        <w:t>ALTERA O</w:t>
      </w:r>
      <w:r w:rsidR="00272AB0">
        <w:rPr>
          <w:rFonts w:eastAsiaTheme="majorEastAsia"/>
          <w:b/>
          <w:bCs/>
        </w:rPr>
        <w:t>S</w:t>
      </w:r>
      <w:r w:rsidRPr="0016796E">
        <w:rPr>
          <w:rFonts w:eastAsiaTheme="majorEastAsia"/>
          <w:b/>
          <w:bCs/>
        </w:rPr>
        <w:t xml:space="preserve"> ART</w:t>
      </w:r>
      <w:r w:rsidR="00272AB0">
        <w:rPr>
          <w:rFonts w:eastAsiaTheme="majorEastAsia"/>
          <w:b/>
          <w:bCs/>
        </w:rPr>
        <w:t>S</w:t>
      </w:r>
      <w:r w:rsidRPr="0016796E">
        <w:rPr>
          <w:rFonts w:eastAsiaTheme="majorEastAsia"/>
          <w:b/>
          <w:bCs/>
        </w:rPr>
        <w:t>. 1º</w:t>
      </w:r>
      <w:r w:rsidR="00272AB0">
        <w:rPr>
          <w:rFonts w:eastAsiaTheme="majorEastAsia"/>
          <w:b/>
          <w:bCs/>
        </w:rPr>
        <w:t xml:space="preserve"> E 2º</w:t>
      </w:r>
      <w:r w:rsidRPr="0016796E">
        <w:rPr>
          <w:rFonts w:eastAsiaTheme="majorEastAsia"/>
          <w:b/>
          <w:bCs/>
        </w:rPr>
        <w:t xml:space="preserve">, DA LEI MUNICIPAL Nº </w:t>
      </w:r>
      <w:r w:rsidR="00272AB0">
        <w:rPr>
          <w:rFonts w:eastAsiaTheme="majorEastAsia"/>
          <w:b/>
          <w:bCs/>
        </w:rPr>
        <w:t>2639</w:t>
      </w:r>
      <w:r w:rsidRPr="0016796E">
        <w:rPr>
          <w:rFonts w:eastAsiaTheme="majorEastAsia"/>
          <w:b/>
          <w:bCs/>
        </w:rPr>
        <w:t>, de 1</w:t>
      </w:r>
      <w:r w:rsidR="00272AB0">
        <w:rPr>
          <w:rFonts w:eastAsiaTheme="majorEastAsia"/>
          <w:b/>
          <w:bCs/>
        </w:rPr>
        <w:t>1</w:t>
      </w:r>
      <w:r w:rsidRPr="0016796E">
        <w:rPr>
          <w:rFonts w:eastAsiaTheme="majorEastAsia"/>
          <w:b/>
          <w:bCs/>
        </w:rPr>
        <w:t xml:space="preserve"> DE </w:t>
      </w:r>
      <w:r w:rsidR="00272AB0">
        <w:rPr>
          <w:rFonts w:eastAsiaTheme="majorEastAsia"/>
          <w:b/>
          <w:bCs/>
        </w:rPr>
        <w:t xml:space="preserve">MAIO </w:t>
      </w:r>
      <w:r w:rsidRPr="0016796E">
        <w:rPr>
          <w:rFonts w:eastAsiaTheme="majorEastAsia"/>
          <w:b/>
          <w:bCs/>
        </w:rPr>
        <w:t>DE 202</w:t>
      </w:r>
      <w:r w:rsidR="00272AB0">
        <w:rPr>
          <w:rFonts w:eastAsiaTheme="majorEastAsia"/>
          <w:b/>
          <w:bCs/>
        </w:rPr>
        <w:t>1</w:t>
      </w:r>
      <w:r w:rsidRPr="0016796E">
        <w:rPr>
          <w:rFonts w:eastAsiaTheme="majorEastAsia"/>
          <w:b/>
          <w:bCs/>
        </w:rPr>
        <w:t>, E DÁ OUTRAS PROVIDÊNCIAS.</w:t>
      </w:r>
    </w:p>
    <w:p w14:paraId="500D7A35" w14:textId="77777777" w:rsidR="0016796E" w:rsidRPr="0016796E" w:rsidRDefault="0016796E" w:rsidP="0016796E">
      <w:pPr>
        <w:spacing w:line="360" w:lineRule="auto"/>
        <w:ind w:firstLine="2835"/>
        <w:jc w:val="both"/>
        <w:rPr>
          <w:rFonts w:eastAsiaTheme="majorEastAsia"/>
          <w:b/>
          <w:bCs/>
        </w:rPr>
      </w:pPr>
      <w:r w:rsidRPr="0016796E">
        <w:rPr>
          <w:rFonts w:eastAsiaTheme="majorEastAsia"/>
          <w:b/>
          <w:bCs/>
        </w:rPr>
        <w:tab/>
      </w:r>
    </w:p>
    <w:p w14:paraId="30162D6E" w14:textId="77777777" w:rsidR="0016796E" w:rsidRPr="0016796E" w:rsidRDefault="0016796E" w:rsidP="0016796E">
      <w:pPr>
        <w:spacing w:line="360" w:lineRule="auto"/>
        <w:ind w:firstLine="2835"/>
        <w:jc w:val="both"/>
        <w:rPr>
          <w:rFonts w:eastAsiaTheme="majorEastAsia"/>
          <w:b/>
          <w:bCs/>
        </w:rPr>
      </w:pPr>
    </w:p>
    <w:p w14:paraId="5DD99732" w14:textId="0508957C" w:rsidR="0016796E" w:rsidRPr="0016796E" w:rsidRDefault="0016796E" w:rsidP="0016796E">
      <w:pPr>
        <w:spacing w:line="360" w:lineRule="auto"/>
        <w:ind w:firstLine="2835"/>
        <w:jc w:val="both"/>
        <w:rPr>
          <w:rFonts w:eastAsiaTheme="majorEastAsia"/>
        </w:rPr>
      </w:pPr>
      <w:r w:rsidRPr="0016796E">
        <w:rPr>
          <w:rFonts w:eastAsiaTheme="majorEastAsia"/>
        </w:rPr>
        <w:t>Art. 1º Altera o Art. 1º, da Lei Municipal nº 2</w:t>
      </w:r>
      <w:r w:rsidR="00272AB0">
        <w:rPr>
          <w:rFonts w:eastAsiaTheme="majorEastAsia"/>
        </w:rPr>
        <w:t>639</w:t>
      </w:r>
      <w:r w:rsidRPr="0016796E">
        <w:rPr>
          <w:rFonts w:eastAsiaTheme="majorEastAsia"/>
        </w:rPr>
        <w:t>, de 1</w:t>
      </w:r>
      <w:r w:rsidR="00272AB0">
        <w:rPr>
          <w:rFonts w:eastAsiaTheme="majorEastAsia"/>
        </w:rPr>
        <w:t>1</w:t>
      </w:r>
      <w:r w:rsidRPr="0016796E">
        <w:rPr>
          <w:rFonts w:eastAsiaTheme="majorEastAsia"/>
        </w:rPr>
        <w:t xml:space="preserve"> de </w:t>
      </w:r>
      <w:r w:rsidR="00272AB0">
        <w:rPr>
          <w:rFonts w:eastAsiaTheme="majorEastAsia"/>
        </w:rPr>
        <w:t>maio</w:t>
      </w:r>
      <w:r w:rsidRPr="0016796E">
        <w:rPr>
          <w:rFonts w:eastAsiaTheme="majorEastAsia"/>
        </w:rPr>
        <w:t xml:space="preserve"> de 202</w:t>
      </w:r>
      <w:r w:rsidR="00272AB0">
        <w:rPr>
          <w:rFonts w:eastAsiaTheme="majorEastAsia"/>
        </w:rPr>
        <w:t>1</w:t>
      </w:r>
      <w:r w:rsidRPr="0016796E">
        <w:rPr>
          <w:rFonts w:eastAsiaTheme="majorEastAsia"/>
        </w:rPr>
        <w:t>, que passará a ter a seguinte redação:</w:t>
      </w:r>
    </w:p>
    <w:p w14:paraId="7F8A48E1" w14:textId="77777777" w:rsidR="0016796E" w:rsidRPr="0016796E" w:rsidRDefault="0016796E" w:rsidP="0016796E">
      <w:pPr>
        <w:spacing w:line="360" w:lineRule="auto"/>
        <w:ind w:firstLine="2835"/>
        <w:jc w:val="both"/>
        <w:rPr>
          <w:rFonts w:eastAsiaTheme="majorEastAsia"/>
          <w:b/>
          <w:bCs/>
        </w:rPr>
      </w:pPr>
    </w:p>
    <w:p w14:paraId="6619928C" w14:textId="77777777" w:rsidR="00272AB0" w:rsidRPr="00272AB0" w:rsidRDefault="00272AB0" w:rsidP="00272AB0">
      <w:pPr>
        <w:spacing w:after="160" w:line="360" w:lineRule="auto"/>
        <w:ind w:left="1416"/>
        <w:jc w:val="both"/>
        <w:rPr>
          <w:rFonts w:eastAsiaTheme="majorEastAsia"/>
        </w:rPr>
      </w:pPr>
      <w:r w:rsidRPr="00272AB0">
        <w:rPr>
          <w:rFonts w:eastAsiaTheme="majorEastAsia"/>
        </w:rPr>
        <w:t>Art. 1º Nas ações judiciais de qualquer natureza, em que for parte o Município de Salto do Jacuí e seus órgãos e entidades da Administração Direta e Indireta, os honorários advocatícios fixados por arbitramento, acordos ou sucumbência pertencem integralmente aos Procuradores Jurídicos do Município ocupantes de cargo de provimento efetivo.</w:t>
      </w:r>
    </w:p>
    <w:p w14:paraId="7E17F4CC" w14:textId="42273E85" w:rsidR="00272AB0" w:rsidRPr="00272AB0" w:rsidRDefault="00272AB0" w:rsidP="00272AB0">
      <w:pPr>
        <w:spacing w:after="160" w:line="360" w:lineRule="auto"/>
        <w:ind w:left="1416"/>
        <w:jc w:val="both"/>
        <w:rPr>
          <w:rFonts w:eastAsiaTheme="majorEastAsia"/>
        </w:rPr>
      </w:pPr>
      <w:r w:rsidRPr="00272AB0">
        <w:rPr>
          <w:rFonts w:eastAsiaTheme="majorEastAsia"/>
        </w:rPr>
        <w:t>§ 1º O disposto no caput tem validade para todas as ações ajuizadas, que estejam em andamento ou não.</w:t>
      </w:r>
    </w:p>
    <w:p w14:paraId="7817448C" w14:textId="01253812" w:rsidR="00272AB0" w:rsidRPr="00272AB0" w:rsidRDefault="00272AB0" w:rsidP="00272AB0">
      <w:pPr>
        <w:spacing w:after="160" w:line="360" w:lineRule="auto"/>
        <w:ind w:left="1416"/>
        <w:jc w:val="both"/>
        <w:rPr>
          <w:rFonts w:eastAsiaTheme="majorEastAsia"/>
        </w:rPr>
      </w:pPr>
      <w:r w:rsidRPr="00272AB0">
        <w:rPr>
          <w:rFonts w:eastAsiaTheme="majorEastAsia"/>
        </w:rPr>
        <w:t>§ 2º Os honorários constituem verba variável, não incorporável nem computável para cálculo de qualquer vantagem remuneratória.</w:t>
      </w:r>
    </w:p>
    <w:p w14:paraId="2FAD943D" w14:textId="14BECF08" w:rsidR="00272AB0" w:rsidRPr="00272AB0" w:rsidRDefault="00272AB0" w:rsidP="00272AB0">
      <w:pPr>
        <w:spacing w:after="160" w:line="360" w:lineRule="auto"/>
        <w:ind w:left="1416"/>
        <w:jc w:val="both"/>
        <w:rPr>
          <w:rFonts w:eastAsiaTheme="majorEastAsia"/>
        </w:rPr>
      </w:pPr>
      <w:r w:rsidRPr="00272AB0">
        <w:rPr>
          <w:rFonts w:eastAsiaTheme="majorEastAsia"/>
        </w:rPr>
        <w:t>§ 3º Os honorários previstos no caput deste artigo são verbas de natureza privada, não constituindo encargos ao Tesouro Municipal, sendo pagos exclusivamente pela parte sucumbente ou devedora.</w:t>
      </w:r>
    </w:p>
    <w:p w14:paraId="51146836" w14:textId="7F260EFA" w:rsidR="00272AB0" w:rsidRDefault="00272AB0" w:rsidP="00272AB0">
      <w:pPr>
        <w:spacing w:after="160" w:line="360" w:lineRule="auto"/>
        <w:ind w:left="1416"/>
        <w:jc w:val="both"/>
        <w:rPr>
          <w:rFonts w:eastAsiaTheme="majorEastAsia"/>
        </w:rPr>
      </w:pPr>
      <w:r w:rsidRPr="00272AB0">
        <w:rPr>
          <w:rFonts w:eastAsiaTheme="majorEastAsia"/>
        </w:rPr>
        <w:t xml:space="preserve">§ 4º Nos impedimentos, afastamentos ou na inexistência de Procurador Jurídico lotado, os honorários poderão ser conferidos ao Assessor Jurídico designado por ato formal especificamente para as funções de representação judicial do Município. </w:t>
      </w:r>
    </w:p>
    <w:p w14:paraId="62360DAE" w14:textId="77777777" w:rsidR="00272AB0" w:rsidRDefault="00272AB0" w:rsidP="00272AB0">
      <w:pPr>
        <w:spacing w:after="160" w:line="360" w:lineRule="auto"/>
        <w:ind w:left="1416" w:firstLine="708"/>
        <w:rPr>
          <w:rFonts w:eastAsiaTheme="majorEastAsia"/>
        </w:rPr>
      </w:pPr>
    </w:p>
    <w:p w14:paraId="7BB1AEC9" w14:textId="2AB5E125" w:rsidR="00272AB0" w:rsidRDefault="0016796E" w:rsidP="00272AB0">
      <w:pPr>
        <w:spacing w:after="160" w:line="360" w:lineRule="auto"/>
        <w:ind w:left="1416" w:firstLine="708"/>
        <w:rPr>
          <w:bCs/>
          <w:color w:val="000000"/>
        </w:rPr>
      </w:pPr>
      <w:r w:rsidRPr="0016796E">
        <w:rPr>
          <w:bCs/>
          <w:color w:val="000000"/>
        </w:rPr>
        <w:lastRenderedPageBreak/>
        <w:t xml:space="preserve">Art. 2º </w:t>
      </w:r>
      <w:r w:rsidR="00272AB0" w:rsidRPr="00272AB0">
        <w:rPr>
          <w:bCs/>
          <w:color w:val="000000"/>
        </w:rPr>
        <w:t xml:space="preserve">Altera o Art. </w:t>
      </w:r>
      <w:r w:rsidR="00272AB0">
        <w:rPr>
          <w:bCs/>
          <w:color w:val="000000"/>
        </w:rPr>
        <w:t>2</w:t>
      </w:r>
      <w:r w:rsidR="00272AB0" w:rsidRPr="00272AB0">
        <w:rPr>
          <w:bCs/>
          <w:color w:val="000000"/>
        </w:rPr>
        <w:t>º, da Lei Municipal nº 2639, de 11 de maio de 2021, que passará a ter a seguinte redação:</w:t>
      </w:r>
    </w:p>
    <w:p w14:paraId="2F4B4F98" w14:textId="77777777" w:rsidR="00272AB0" w:rsidRPr="00272AB0" w:rsidRDefault="00272AB0" w:rsidP="00272AB0">
      <w:pPr>
        <w:spacing w:after="160" w:line="360" w:lineRule="auto"/>
        <w:ind w:left="1416"/>
        <w:jc w:val="both"/>
        <w:rPr>
          <w:bCs/>
          <w:color w:val="000000"/>
        </w:rPr>
      </w:pPr>
      <w:r w:rsidRPr="00272AB0">
        <w:rPr>
          <w:bCs/>
          <w:color w:val="000000"/>
        </w:rPr>
        <w:t>Art. 2º O Poder Executivo criará uma conta especial para depósito dos valores percebidos a título de honorários, cujo levantamento será realizado em prol dos Procuradores Jurídicos Municipais mencionados no art. 1º.</w:t>
      </w:r>
    </w:p>
    <w:p w14:paraId="773942F9" w14:textId="24D1B221" w:rsidR="00272AB0" w:rsidRPr="00272AB0" w:rsidRDefault="00272AB0" w:rsidP="00272AB0">
      <w:pPr>
        <w:spacing w:after="160" w:line="360" w:lineRule="auto"/>
        <w:ind w:left="1416"/>
        <w:jc w:val="both"/>
        <w:rPr>
          <w:bCs/>
          <w:color w:val="000000"/>
        </w:rPr>
      </w:pPr>
      <w:r w:rsidRPr="00272AB0">
        <w:rPr>
          <w:bCs/>
          <w:color w:val="000000"/>
        </w:rPr>
        <w:t>§ 1º Fica a Secretaria Municipal da Fazenda responsável para os fins operacionais e específicos de rateio, distribuição e pagamento dos honorários de sucumbência.</w:t>
      </w:r>
    </w:p>
    <w:p w14:paraId="6ACB329B" w14:textId="548733CD" w:rsidR="00272AB0" w:rsidRPr="00272AB0" w:rsidRDefault="00272AB0" w:rsidP="00272AB0">
      <w:pPr>
        <w:spacing w:after="160" w:line="360" w:lineRule="auto"/>
        <w:ind w:left="1416"/>
        <w:jc w:val="both"/>
        <w:rPr>
          <w:bCs/>
          <w:color w:val="000000"/>
        </w:rPr>
      </w:pPr>
      <w:r w:rsidRPr="00272AB0">
        <w:rPr>
          <w:bCs/>
          <w:color w:val="000000"/>
        </w:rPr>
        <w:t>§ 2º Os valores percebidos serão distribuídos no mês subsequente à data em que se consumar o recolhimento, com destaque na folha de pagamento, de igual forma a tantos forem os Procuradores, ressalvado o limite disposto no art. 37, XI, da Constituição Federal, referente a 90,75% do subsídio mensal em espécie dos ministros do Supremo Tribunal Federal.</w:t>
      </w:r>
    </w:p>
    <w:p w14:paraId="18690F6C" w14:textId="508EE5F6" w:rsidR="00272AB0" w:rsidRDefault="00272AB0" w:rsidP="00272AB0">
      <w:pPr>
        <w:spacing w:after="160" w:line="360" w:lineRule="auto"/>
        <w:ind w:left="1416"/>
        <w:jc w:val="both"/>
        <w:rPr>
          <w:bCs/>
          <w:color w:val="000000"/>
        </w:rPr>
      </w:pPr>
      <w:r w:rsidRPr="00272AB0">
        <w:rPr>
          <w:bCs/>
          <w:color w:val="000000"/>
        </w:rPr>
        <w:t>§ 3º Nos processos em que for expedido alvará de forma automatizada na conta do Município, assim como nos casos em que houver pagamento administrativo, a Secretaria da Fazenda deverá proceder a imediata transferência dos valores relativos aos honorários advocatícios para a conta mencionada no caput</w:t>
      </w:r>
      <w:r>
        <w:rPr>
          <w:bCs/>
          <w:color w:val="000000"/>
        </w:rPr>
        <w:t>.</w:t>
      </w:r>
    </w:p>
    <w:p w14:paraId="7B9F5C7D" w14:textId="77777777" w:rsidR="00272AB0" w:rsidRDefault="00272AB0" w:rsidP="00272AB0">
      <w:pPr>
        <w:spacing w:after="160" w:line="360" w:lineRule="auto"/>
        <w:ind w:left="1416" w:firstLine="708"/>
        <w:rPr>
          <w:bCs/>
          <w:color w:val="000000"/>
        </w:rPr>
      </w:pPr>
    </w:p>
    <w:p w14:paraId="4C3899C1" w14:textId="17FA52E3" w:rsidR="0016796E" w:rsidRPr="0016796E" w:rsidRDefault="00272AB0" w:rsidP="00272AB0">
      <w:pPr>
        <w:spacing w:after="160" w:line="360" w:lineRule="auto"/>
        <w:ind w:left="1416" w:firstLine="708"/>
        <w:rPr>
          <w:bCs/>
          <w:color w:val="000000"/>
        </w:rPr>
      </w:pPr>
      <w:r>
        <w:rPr>
          <w:bCs/>
          <w:color w:val="000000"/>
        </w:rPr>
        <w:t xml:space="preserve">Art. 3º </w:t>
      </w:r>
      <w:r w:rsidR="0016796E" w:rsidRPr="0016796E">
        <w:rPr>
          <w:bCs/>
          <w:color w:val="000000"/>
        </w:rPr>
        <w:t>Esta Lei entra em vigor na data de sua publicação.</w:t>
      </w:r>
    </w:p>
    <w:p w14:paraId="326F5E40" w14:textId="77777777" w:rsidR="0016796E" w:rsidRPr="0016796E" w:rsidRDefault="0016796E" w:rsidP="0016796E">
      <w:pPr>
        <w:spacing w:after="160" w:line="360" w:lineRule="auto"/>
        <w:rPr>
          <w:bCs/>
          <w:color w:val="000000"/>
        </w:rPr>
      </w:pPr>
    </w:p>
    <w:p w14:paraId="757F8E9F" w14:textId="79C1B6D1" w:rsidR="0016796E" w:rsidRPr="0016796E" w:rsidRDefault="0016796E" w:rsidP="0016796E">
      <w:pPr>
        <w:spacing w:after="160" w:line="360" w:lineRule="auto"/>
        <w:rPr>
          <w:bCs/>
          <w:color w:val="000000"/>
        </w:rPr>
      </w:pPr>
      <w:r w:rsidRPr="0016796E">
        <w:rPr>
          <w:bCs/>
          <w:color w:val="000000"/>
        </w:rPr>
        <w:tab/>
      </w:r>
      <w:r w:rsidRPr="0016796E">
        <w:rPr>
          <w:bCs/>
          <w:color w:val="000000"/>
        </w:rPr>
        <w:tab/>
      </w:r>
      <w:r w:rsidRPr="0016796E">
        <w:rPr>
          <w:bCs/>
          <w:color w:val="000000"/>
        </w:rPr>
        <w:tab/>
      </w:r>
      <w:r w:rsidRPr="0016796E">
        <w:rPr>
          <w:bCs/>
          <w:color w:val="000000"/>
        </w:rPr>
        <w:tab/>
        <w:t xml:space="preserve">Salto do Jacuí, </w:t>
      </w:r>
      <w:r w:rsidR="00272AB0">
        <w:rPr>
          <w:bCs/>
          <w:color w:val="000000"/>
        </w:rPr>
        <w:t>19</w:t>
      </w:r>
      <w:r w:rsidRPr="0016796E">
        <w:rPr>
          <w:bCs/>
          <w:color w:val="000000"/>
        </w:rPr>
        <w:t xml:space="preserve"> de </w:t>
      </w:r>
      <w:r w:rsidR="008B52A8">
        <w:rPr>
          <w:bCs/>
          <w:color w:val="000000"/>
        </w:rPr>
        <w:t xml:space="preserve">Setembro </w:t>
      </w:r>
      <w:r w:rsidRPr="0016796E">
        <w:rPr>
          <w:bCs/>
          <w:color w:val="000000"/>
        </w:rPr>
        <w:t>de 2025.</w:t>
      </w:r>
      <w:r w:rsidRPr="0016796E">
        <w:rPr>
          <w:bCs/>
          <w:color w:val="000000"/>
        </w:rPr>
        <w:tab/>
      </w:r>
    </w:p>
    <w:p w14:paraId="398F4DA4" w14:textId="77777777" w:rsidR="0016796E" w:rsidRPr="0016796E" w:rsidRDefault="0016796E" w:rsidP="0016796E">
      <w:pPr>
        <w:spacing w:after="160" w:line="360" w:lineRule="auto"/>
        <w:rPr>
          <w:bCs/>
          <w:color w:val="000000"/>
        </w:rPr>
      </w:pPr>
      <w:r w:rsidRPr="0016796E">
        <w:rPr>
          <w:bCs/>
          <w:color w:val="000000"/>
        </w:rPr>
        <w:tab/>
      </w:r>
      <w:r w:rsidRPr="0016796E">
        <w:rPr>
          <w:bCs/>
          <w:color w:val="000000"/>
        </w:rPr>
        <w:tab/>
      </w:r>
    </w:p>
    <w:p w14:paraId="49A26B5D" w14:textId="77777777" w:rsidR="0016796E" w:rsidRPr="0016796E" w:rsidRDefault="0016796E" w:rsidP="0016796E">
      <w:pPr>
        <w:spacing w:after="160" w:line="360" w:lineRule="auto"/>
        <w:rPr>
          <w:bCs/>
          <w:color w:val="000000"/>
        </w:rPr>
      </w:pPr>
    </w:p>
    <w:p w14:paraId="76FDA001" w14:textId="77777777" w:rsidR="0016796E" w:rsidRPr="0016796E" w:rsidRDefault="0016796E" w:rsidP="0016796E">
      <w:pPr>
        <w:spacing w:after="160" w:line="360" w:lineRule="auto"/>
        <w:jc w:val="center"/>
        <w:rPr>
          <w:bCs/>
          <w:color w:val="000000"/>
        </w:rPr>
      </w:pPr>
      <w:r w:rsidRPr="0016796E">
        <w:rPr>
          <w:bCs/>
          <w:color w:val="000000"/>
        </w:rPr>
        <w:t>Ronaldo Olímpio Pereira de Moraes</w:t>
      </w:r>
    </w:p>
    <w:p w14:paraId="5F2CDC41" w14:textId="6E3A8125" w:rsidR="002B18CC" w:rsidRPr="00570744" w:rsidRDefault="0016796E" w:rsidP="0016796E">
      <w:pPr>
        <w:spacing w:after="160" w:line="360" w:lineRule="auto"/>
        <w:jc w:val="center"/>
        <w:rPr>
          <w:rFonts w:eastAsia="SimSun"/>
          <w:b/>
        </w:rPr>
      </w:pPr>
      <w:r w:rsidRPr="0016796E">
        <w:rPr>
          <w:bCs/>
          <w:color w:val="000000"/>
        </w:rPr>
        <w:t>Prefeito Municipal  </w:t>
      </w:r>
      <w:r w:rsidR="002B18CC" w:rsidRPr="00570744">
        <w:rPr>
          <w:rFonts w:eastAsia="SimSun"/>
          <w:b/>
        </w:rPr>
        <w:br w:type="page"/>
      </w:r>
    </w:p>
    <w:p w14:paraId="5CF4E83D" w14:textId="77777777" w:rsidR="002B18CC" w:rsidRPr="00570744" w:rsidRDefault="002B18CC" w:rsidP="002B18CC">
      <w:pPr>
        <w:spacing w:after="160" w:line="360" w:lineRule="auto"/>
        <w:rPr>
          <w:rFonts w:eastAsia="SimSun"/>
          <w:b/>
        </w:rPr>
      </w:pPr>
    </w:p>
    <w:p w14:paraId="3A7E5CEE" w14:textId="77777777" w:rsidR="007F6572" w:rsidRPr="00570744" w:rsidRDefault="000E1133" w:rsidP="002B18CC">
      <w:pPr>
        <w:spacing w:line="360" w:lineRule="auto"/>
        <w:ind w:left="2832"/>
        <w:jc w:val="both"/>
        <w:rPr>
          <w:rFonts w:eastAsia="SimSun"/>
          <w:b/>
        </w:rPr>
      </w:pPr>
      <w:r w:rsidRPr="00570744">
        <w:rPr>
          <w:rFonts w:eastAsia="SimSun"/>
          <w:b/>
        </w:rPr>
        <w:t>JUST</w:t>
      </w:r>
      <w:r w:rsidR="007F6572" w:rsidRPr="00570744">
        <w:rPr>
          <w:rFonts w:eastAsia="SimSun"/>
          <w:b/>
        </w:rPr>
        <w:t>IFICATIVA</w:t>
      </w:r>
    </w:p>
    <w:p w14:paraId="1CBFD81A" w14:textId="77777777" w:rsidR="007F6572" w:rsidRPr="00570744" w:rsidRDefault="007F6572" w:rsidP="002B18CC">
      <w:pPr>
        <w:spacing w:line="360" w:lineRule="auto"/>
        <w:ind w:left="2832"/>
        <w:jc w:val="both"/>
        <w:rPr>
          <w:rFonts w:eastAsia="SimSun"/>
          <w:b/>
        </w:rPr>
      </w:pPr>
    </w:p>
    <w:p w14:paraId="06D2156C" w14:textId="77777777" w:rsidR="007F6572" w:rsidRPr="00570744" w:rsidRDefault="007F6572" w:rsidP="002B18CC">
      <w:pPr>
        <w:spacing w:line="360" w:lineRule="auto"/>
        <w:ind w:left="2832"/>
        <w:jc w:val="both"/>
        <w:rPr>
          <w:rFonts w:eastAsia="SimSun"/>
          <w:b/>
        </w:rPr>
      </w:pPr>
      <w:r w:rsidRPr="00570744">
        <w:rPr>
          <w:rFonts w:eastAsia="SimSun"/>
          <w:b/>
        </w:rPr>
        <w:t>Senhora Presidente</w:t>
      </w:r>
    </w:p>
    <w:p w14:paraId="448C77A6" w14:textId="77777777" w:rsidR="007F6572" w:rsidRPr="00570744" w:rsidRDefault="007F6572" w:rsidP="002B18CC">
      <w:pPr>
        <w:spacing w:line="360" w:lineRule="auto"/>
        <w:ind w:left="2832"/>
        <w:jc w:val="both"/>
        <w:rPr>
          <w:rFonts w:eastAsia="SimSun"/>
          <w:b/>
        </w:rPr>
      </w:pPr>
      <w:r w:rsidRPr="00570744">
        <w:rPr>
          <w:rFonts w:eastAsia="SimSun"/>
          <w:b/>
        </w:rPr>
        <w:t>Nobres Vereadores</w:t>
      </w:r>
    </w:p>
    <w:p w14:paraId="5BD6E39C" w14:textId="77777777" w:rsidR="007F6572" w:rsidRPr="00570744" w:rsidRDefault="007F6572" w:rsidP="002B18CC">
      <w:pPr>
        <w:spacing w:line="360" w:lineRule="auto"/>
        <w:jc w:val="both"/>
        <w:rPr>
          <w:rFonts w:eastAsia="SimSun"/>
          <w:b/>
        </w:rPr>
      </w:pPr>
      <w:r w:rsidRPr="00570744">
        <w:rPr>
          <w:rFonts w:eastAsia="SimSun"/>
          <w:b/>
        </w:rPr>
        <w:tab/>
      </w:r>
      <w:r w:rsidRPr="00570744">
        <w:rPr>
          <w:rFonts w:eastAsia="SimSun"/>
          <w:b/>
        </w:rPr>
        <w:tab/>
      </w:r>
      <w:r w:rsidRPr="00570744">
        <w:rPr>
          <w:rFonts w:eastAsia="SimSun"/>
          <w:b/>
        </w:rPr>
        <w:tab/>
      </w:r>
    </w:p>
    <w:p w14:paraId="2E6FC2A5" w14:textId="3AAF4A65" w:rsidR="0016796E" w:rsidRDefault="0016796E" w:rsidP="0016796E">
      <w:pPr>
        <w:spacing w:line="360" w:lineRule="auto"/>
        <w:ind w:firstLine="708"/>
        <w:jc w:val="both"/>
        <w:rPr>
          <w:rFonts w:eastAsia="SimSun"/>
        </w:rPr>
      </w:pPr>
      <w:r w:rsidRPr="0016796E">
        <w:rPr>
          <w:rFonts w:eastAsia="SimSun"/>
        </w:rPr>
        <w:t>O Projeto de Lei nº 30</w:t>
      </w:r>
      <w:r w:rsidR="00272AB0">
        <w:rPr>
          <w:rFonts w:eastAsia="SimSun"/>
        </w:rPr>
        <w:t>72</w:t>
      </w:r>
      <w:r w:rsidRPr="0016796E">
        <w:rPr>
          <w:rFonts w:eastAsia="SimSun"/>
        </w:rPr>
        <w:t>/2025, que ora estamos encaminhando para apreciação e aprovação por parte desta Colenda Câmara de Vereadores, autoriza este Executivo Municipal a Lei Municipal nº 2</w:t>
      </w:r>
      <w:r w:rsidR="00272AB0">
        <w:rPr>
          <w:rFonts w:eastAsia="SimSun"/>
        </w:rPr>
        <w:t>639/2021.</w:t>
      </w:r>
    </w:p>
    <w:p w14:paraId="419E9020" w14:textId="77777777" w:rsidR="00E627B2" w:rsidRPr="0016796E" w:rsidRDefault="00E627B2" w:rsidP="0016796E">
      <w:pPr>
        <w:spacing w:line="360" w:lineRule="auto"/>
        <w:ind w:firstLine="708"/>
        <w:jc w:val="both"/>
        <w:rPr>
          <w:rFonts w:eastAsia="SimSun"/>
        </w:rPr>
      </w:pPr>
    </w:p>
    <w:p w14:paraId="345CDDB6" w14:textId="47C6215F" w:rsidR="00E627B2" w:rsidRPr="00E627B2" w:rsidRDefault="0016796E" w:rsidP="00E627B2">
      <w:pPr>
        <w:spacing w:line="360" w:lineRule="auto"/>
        <w:ind w:firstLine="708"/>
        <w:jc w:val="both"/>
        <w:rPr>
          <w:rFonts w:eastAsia="SimSun"/>
        </w:rPr>
      </w:pPr>
      <w:r w:rsidRPr="0016796E">
        <w:rPr>
          <w:rFonts w:eastAsia="SimSun"/>
        </w:rPr>
        <w:t>As razões que motivam a propositura do presente referem-se</w:t>
      </w:r>
      <w:r w:rsidR="00E627B2">
        <w:rPr>
          <w:rFonts w:eastAsia="SimSun"/>
        </w:rPr>
        <w:t xml:space="preserve"> ao que </w:t>
      </w:r>
      <w:r w:rsidR="00E627B2" w:rsidRPr="00E627B2">
        <w:rPr>
          <w:rFonts w:eastAsia="SimSun"/>
        </w:rPr>
        <w:t>determina o Código de Processo Civil - Lei Federal nº 13.105, de 18 de março de 2015, que conferiu aos advogados públicos (da União, Estados e Municípios), o direito a perceber honorários de sucumbência, em seu artigo 85, §19.</w:t>
      </w:r>
    </w:p>
    <w:p w14:paraId="69B25A0B" w14:textId="77777777" w:rsidR="00E627B2" w:rsidRPr="00E627B2" w:rsidRDefault="00E627B2" w:rsidP="00E627B2">
      <w:pPr>
        <w:spacing w:line="360" w:lineRule="auto"/>
        <w:ind w:firstLine="708"/>
        <w:jc w:val="both"/>
        <w:rPr>
          <w:rFonts w:eastAsia="SimSun"/>
        </w:rPr>
      </w:pPr>
    </w:p>
    <w:p w14:paraId="7A354A69" w14:textId="77777777" w:rsidR="00E627B2" w:rsidRPr="00E627B2" w:rsidRDefault="00E627B2" w:rsidP="00E627B2">
      <w:pPr>
        <w:spacing w:line="360" w:lineRule="auto"/>
        <w:ind w:firstLine="708"/>
        <w:jc w:val="both"/>
        <w:rPr>
          <w:rFonts w:eastAsia="SimSun"/>
        </w:rPr>
      </w:pPr>
      <w:r w:rsidRPr="00E627B2">
        <w:rPr>
          <w:rFonts w:eastAsia="SimSun"/>
        </w:rPr>
        <w:t>A partir disso, os honorários advocatícios constituem direito dos servidores ocupantes do cargo de Procurador Jurídico do Município e de Procurador-Geral do Município, conforme disposição expressa do Estatuto da Ordem dos Advogados do Brasil - Lei 8.906, de 04 de julho de 1994, que assim dispõe em seus artigos, in verbis:</w:t>
      </w:r>
    </w:p>
    <w:p w14:paraId="697485FE" w14:textId="77777777" w:rsidR="00E627B2" w:rsidRPr="00E627B2" w:rsidRDefault="00E627B2" w:rsidP="00E627B2">
      <w:pPr>
        <w:spacing w:line="360" w:lineRule="auto"/>
        <w:ind w:firstLine="708"/>
        <w:jc w:val="both"/>
        <w:rPr>
          <w:rFonts w:eastAsia="SimSun"/>
        </w:rPr>
      </w:pPr>
      <w:r w:rsidRPr="00E627B2">
        <w:rPr>
          <w:rFonts w:eastAsia="SimSun"/>
        </w:rPr>
        <w:t xml:space="preserve"> </w:t>
      </w:r>
    </w:p>
    <w:p w14:paraId="36455830" w14:textId="77777777" w:rsidR="00E627B2" w:rsidRPr="00E627B2" w:rsidRDefault="00E627B2" w:rsidP="00E627B2">
      <w:pPr>
        <w:spacing w:line="360" w:lineRule="auto"/>
        <w:ind w:left="709" w:hanging="1"/>
        <w:jc w:val="both"/>
        <w:rPr>
          <w:rFonts w:eastAsia="SimSun"/>
        </w:rPr>
      </w:pPr>
      <w:r w:rsidRPr="00E627B2">
        <w:rPr>
          <w:rFonts w:eastAsia="SimSun"/>
        </w:rPr>
        <w:t>(...)</w:t>
      </w:r>
    </w:p>
    <w:p w14:paraId="1D54E708" w14:textId="77777777" w:rsidR="00E627B2" w:rsidRPr="00E627B2" w:rsidRDefault="00E627B2" w:rsidP="00E627B2">
      <w:pPr>
        <w:spacing w:line="360" w:lineRule="auto"/>
        <w:ind w:left="709" w:hanging="1"/>
        <w:jc w:val="both"/>
        <w:rPr>
          <w:rFonts w:eastAsia="SimSun"/>
        </w:rPr>
      </w:pPr>
      <w:r w:rsidRPr="00E627B2">
        <w:rPr>
          <w:rFonts w:eastAsia="SimSun"/>
        </w:rPr>
        <w:t>Art. 3º O exercício da atividade de advocacia no território brasileiro e a denominação de advogado são privativos dos inscritos na Ordem dos Advogados do Brasil (OAB).</w:t>
      </w:r>
    </w:p>
    <w:p w14:paraId="5D2FDD38" w14:textId="77777777" w:rsidR="00E627B2" w:rsidRPr="00E627B2" w:rsidRDefault="00E627B2" w:rsidP="00E627B2">
      <w:pPr>
        <w:spacing w:line="360" w:lineRule="auto"/>
        <w:ind w:left="709" w:hanging="1"/>
        <w:jc w:val="both"/>
        <w:rPr>
          <w:rFonts w:eastAsia="SimSun"/>
        </w:rPr>
      </w:pPr>
      <w:r w:rsidRPr="00E627B2">
        <w:rPr>
          <w:rFonts w:eastAsia="SimSun"/>
        </w:rPr>
        <w:t>§ 1º Exercem atividade de advocacia, sujeitando-se ao regime desta lei, além do regime próprio a que se subordinem, os integrantes da Advocacia-Geral da União, da Procuradoria da Fazenda Nacional, da Defensoria Pública e das Procuradorias e Consultorias Jurídicas dos Estados, do Distrito Federal, dos Municípios e das respectivas entidades de administração indireta e fundacional.</w:t>
      </w:r>
    </w:p>
    <w:p w14:paraId="104699D8" w14:textId="77777777" w:rsidR="00E627B2" w:rsidRPr="00E627B2" w:rsidRDefault="00E627B2" w:rsidP="00E627B2">
      <w:pPr>
        <w:spacing w:line="360" w:lineRule="auto"/>
        <w:ind w:left="709" w:hanging="1"/>
        <w:jc w:val="both"/>
        <w:rPr>
          <w:rFonts w:eastAsia="SimSun"/>
        </w:rPr>
      </w:pPr>
      <w:r w:rsidRPr="00E627B2">
        <w:rPr>
          <w:rFonts w:eastAsia="SimSun"/>
        </w:rPr>
        <w:t>(...)</w:t>
      </w:r>
    </w:p>
    <w:p w14:paraId="7F88A78A" w14:textId="77777777" w:rsidR="00E627B2" w:rsidRPr="00E627B2" w:rsidRDefault="00E627B2" w:rsidP="00E627B2">
      <w:pPr>
        <w:spacing w:line="360" w:lineRule="auto"/>
        <w:ind w:left="709" w:hanging="1"/>
        <w:jc w:val="both"/>
        <w:rPr>
          <w:rFonts w:eastAsia="SimSun"/>
        </w:rPr>
      </w:pPr>
      <w:r w:rsidRPr="00E627B2">
        <w:rPr>
          <w:rFonts w:eastAsia="SimSun"/>
        </w:rPr>
        <w:t>Art. 22. A prestação de serviço profissional assegura aos inscritos na OAB o direito aos honorários convencionados, aos fixados por arbitramento judicial e aos de sucumbência.</w:t>
      </w:r>
    </w:p>
    <w:p w14:paraId="3890628D" w14:textId="77777777" w:rsidR="00E627B2" w:rsidRPr="00E627B2" w:rsidRDefault="00E627B2" w:rsidP="00E627B2">
      <w:pPr>
        <w:spacing w:line="360" w:lineRule="auto"/>
        <w:ind w:left="709" w:hanging="1"/>
        <w:jc w:val="both"/>
        <w:rPr>
          <w:rFonts w:eastAsia="SimSun"/>
        </w:rPr>
      </w:pPr>
      <w:r w:rsidRPr="00E627B2">
        <w:rPr>
          <w:rFonts w:eastAsia="SimSun"/>
        </w:rPr>
        <w:lastRenderedPageBreak/>
        <w:t>(...)</w:t>
      </w:r>
    </w:p>
    <w:p w14:paraId="16219A29" w14:textId="77777777" w:rsidR="00E627B2" w:rsidRPr="00E627B2" w:rsidRDefault="00E627B2" w:rsidP="00E627B2">
      <w:pPr>
        <w:spacing w:line="360" w:lineRule="auto"/>
        <w:ind w:left="709" w:hanging="1"/>
        <w:jc w:val="both"/>
        <w:rPr>
          <w:rFonts w:eastAsia="SimSun"/>
        </w:rPr>
      </w:pPr>
      <w:r w:rsidRPr="00E627B2">
        <w:rPr>
          <w:rFonts w:eastAsia="SimSun"/>
        </w:rPr>
        <w:t>Art. 23. Os honorários incluídos na condenação, por arbitramento ou sucumbência, pertencem ao advogado, tendo este direito autônomo para executar a sentença nesta parte, podendo requerer que o precatório, quando necessário, seja expedido em seu favor.</w:t>
      </w:r>
    </w:p>
    <w:p w14:paraId="2223CFB1" w14:textId="77777777" w:rsidR="00E627B2" w:rsidRPr="00E627B2" w:rsidRDefault="00E627B2" w:rsidP="00E627B2">
      <w:pPr>
        <w:spacing w:line="360" w:lineRule="auto"/>
        <w:ind w:left="709" w:hanging="1"/>
        <w:jc w:val="both"/>
        <w:rPr>
          <w:rFonts w:eastAsia="SimSun"/>
        </w:rPr>
      </w:pPr>
      <w:r w:rsidRPr="00E627B2">
        <w:rPr>
          <w:rFonts w:eastAsia="SimSun"/>
        </w:rPr>
        <w:t>Art. 24. (...)</w:t>
      </w:r>
    </w:p>
    <w:p w14:paraId="52E38700" w14:textId="77777777" w:rsidR="00E627B2" w:rsidRPr="00E627B2" w:rsidRDefault="00E627B2" w:rsidP="00E627B2">
      <w:pPr>
        <w:spacing w:line="360" w:lineRule="auto"/>
        <w:ind w:left="709" w:hanging="1"/>
        <w:jc w:val="both"/>
        <w:rPr>
          <w:rFonts w:eastAsia="SimSun"/>
        </w:rPr>
      </w:pPr>
      <w:r w:rsidRPr="00E627B2">
        <w:rPr>
          <w:rFonts w:eastAsia="SimSun"/>
        </w:rPr>
        <w:t>§ 3º É nula qualquer disposição, cláusula, regulamento ou convenção individual ou coletiva que retire do advogado o direito ao recebimento dos honorários de sucumbência.</w:t>
      </w:r>
    </w:p>
    <w:p w14:paraId="7DBEF2B3" w14:textId="77777777" w:rsidR="00E627B2" w:rsidRPr="00E627B2" w:rsidRDefault="00E627B2" w:rsidP="00E627B2">
      <w:pPr>
        <w:spacing w:line="360" w:lineRule="auto"/>
        <w:ind w:firstLine="708"/>
        <w:jc w:val="both"/>
        <w:rPr>
          <w:rFonts w:eastAsia="SimSun"/>
        </w:rPr>
      </w:pPr>
      <w:r w:rsidRPr="00E627B2">
        <w:rPr>
          <w:rFonts w:eastAsia="SimSun"/>
        </w:rPr>
        <w:t xml:space="preserve"> </w:t>
      </w:r>
    </w:p>
    <w:p w14:paraId="2171A5DB" w14:textId="77777777" w:rsidR="00E627B2" w:rsidRPr="00E627B2" w:rsidRDefault="00E627B2" w:rsidP="00E627B2">
      <w:pPr>
        <w:spacing w:line="360" w:lineRule="auto"/>
        <w:ind w:firstLine="708"/>
        <w:jc w:val="both"/>
        <w:rPr>
          <w:rFonts w:eastAsia="SimSun"/>
        </w:rPr>
      </w:pPr>
      <w:r w:rsidRPr="00E627B2">
        <w:rPr>
          <w:rFonts w:eastAsia="SimSun"/>
        </w:rPr>
        <w:t>De se ver, portanto, que o CPC e o Estatuto da OAB estabelecem que o recebimento dos honorários de sucumbência configura-se em direito e prerrogativa dos advogados, assim também considerados os Procuradores Jurídicos do Município, nos termos do Estatuto da Ordem dos Advogados do Brasil, pelo exercício de seu “Múnus público”.</w:t>
      </w:r>
    </w:p>
    <w:p w14:paraId="1FF47A88" w14:textId="77777777" w:rsidR="00E627B2" w:rsidRPr="00E627B2" w:rsidRDefault="00E627B2" w:rsidP="00E627B2">
      <w:pPr>
        <w:spacing w:line="360" w:lineRule="auto"/>
        <w:ind w:firstLine="708"/>
        <w:jc w:val="both"/>
        <w:rPr>
          <w:rFonts w:eastAsia="SimSun"/>
        </w:rPr>
      </w:pPr>
    </w:p>
    <w:p w14:paraId="010D8130" w14:textId="77777777" w:rsidR="00E627B2" w:rsidRPr="00E627B2" w:rsidRDefault="00E627B2" w:rsidP="00E627B2">
      <w:pPr>
        <w:spacing w:line="360" w:lineRule="auto"/>
        <w:ind w:firstLine="708"/>
        <w:jc w:val="both"/>
        <w:rPr>
          <w:rFonts w:eastAsia="SimSun"/>
        </w:rPr>
      </w:pPr>
      <w:r w:rsidRPr="00E627B2">
        <w:rPr>
          <w:rFonts w:eastAsia="SimSun"/>
        </w:rPr>
        <w:t>Necessário frisar que os honorários de sucumbência serão pagos única e exclusivamente pela parte vencida (pessoa física ou jurídica que litigar com o Município), não constituindo quaisquer encargos ao tesouro municipal, ou seja, são recursos da esfera privada destinados ao Procurador, de modo que a presente Lei não importará em nenhuma despesa aos cofres públicos, pois não se trata de verba pública.</w:t>
      </w:r>
    </w:p>
    <w:p w14:paraId="7E21B060" w14:textId="77777777" w:rsidR="00E627B2" w:rsidRPr="00E627B2" w:rsidRDefault="00E627B2" w:rsidP="00E627B2">
      <w:pPr>
        <w:spacing w:line="360" w:lineRule="auto"/>
        <w:ind w:firstLine="708"/>
        <w:jc w:val="both"/>
        <w:rPr>
          <w:rFonts w:eastAsia="SimSun"/>
        </w:rPr>
      </w:pPr>
    </w:p>
    <w:p w14:paraId="6D785DF1" w14:textId="77777777" w:rsidR="00E627B2" w:rsidRPr="00E627B2" w:rsidRDefault="00E627B2" w:rsidP="00E627B2">
      <w:pPr>
        <w:spacing w:line="360" w:lineRule="auto"/>
        <w:ind w:firstLine="708"/>
        <w:jc w:val="both"/>
        <w:rPr>
          <w:rFonts w:eastAsia="SimSun"/>
        </w:rPr>
      </w:pPr>
      <w:r w:rsidRPr="00E627B2">
        <w:rPr>
          <w:rFonts w:eastAsia="SimSun"/>
        </w:rPr>
        <w:t>Registre-se, outrossim, que os honorários de sucumbência não integram a remuneração paga pela Fazenda Pública aos servidores integrantes do cargo de Procurador Jurídico. A remuneração decorre de imperativo legal a partir da investidura no cargo, ao passo que a percepção dos honorários sucumbenciais resulta do sucesso nas ações judiciais em que o Município de Salto do Jacuí é parte e torna-se vencedor, devendo o vencido suportar os encargos decorrentes da sucumbência.</w:t>
      </w:r>
    </w:p>
    <w:p w14:paraId="3DB8D0BA" w14:textId="77777777" w:rsidR="00E627B2" w:rsidRPr="00E627B2" w:rsidRDefault="00E627B2" w:rsidP="00E627B2">
      <w:pPr>
        <w:spacing w:line="360" w:lineRule="auto"/>
        <w:ind w:firstLine="708"/>
        <w:jc w:val="both"/>
        <w:rPr>
          <w:rFonts w:eastAsia="SimSun"/>
        </w:rPr>
      </w:pPr>
    </w:p>
    <w:p w14:paraId="762C31E1" w14:textId="1B98F45B" w:rsidR="00E627B2" w:rsidRPr="00E627B2" w:rsidRDefault="00E627B2" w:rsidP="00E627B2">
      <w:pPr>
        <w:spacing w:line="360" w:lineRule="auto"/>
        <w:ind w:firstLine="708"/>
        <w:jc w:val="both"/>
        <w:rPr>
          <w:rFonts w:eastAsia="SimSun"/>
        </w:rPr>
      </w:pPr>
      <w:r w:rsidRPr="00E627B2">
        <w:rPr>
          <w:rFonts w:eastAsia="SimSun"/>
        </w:rPr>
        <w:t>Dessa forma, fixado o direito à percepção dos honorários, nos termos referidos, cabe aos Municípios regulamentar, apenas, a forma em que serão rateados entre os titulares do direito, ficando adstritos, contudo, a limites, tendo em vista tratar-se de verba privada e de natureza alimentar (§14, do citado artigo 85</w:t>
      </w:r>
      <w:r>
        <w:rPr>
          <w:rFonts w:eastAsia="SimSun"/>
        </w:rPr>
        <w:t>, do CPC</w:t>
      </w:r>
      <w:r w:rsidRPr="00E627B2">
        <w:rPr>
          <w:rFonts w:eastAsia="SimSun"/>
        </w:rPr>
        <w:t>).</w:t>
      </w:r>
    </w:p>
    <w:p w14:paraId="18827B6D" w14:textId="55E2FCA2" w:rsidR="00E627B2" w:rsidRPr="00E627B2" w:rsidRDefault="00E627B2" w:rsidP="00E627B2">
      <w:pPr>
        <w:spacing w:line="360" w:lineRule="auto"/>
        <w:ind w:firstLine="708"/>
        <w:jc w:val="both"/>
        <w:rPr>
          <w:rFonts w:eastAsia="SimSun"/>
        </w:rPr>
      </w:pPr>
      <w:r w:rsidRPr="00E627B2">
        <w:rPr>
          <w:rFonts w:eastAsia="SimSun"/>
        </w:rPr>
        <w:lastRenderedPageBreak/>
        <w:t>Assim sendo, a pretensão do Poder Executivo Municipal, escorada em princípios éticos, de harmonia e de bom senso, reclama pela respeitável apreciação a este pleito, especialmente observado que o Supremo Tribunal Federal declarou a constitucionalidade do percebimento de honorários pelos Procuradores Municipais no  RE 663696.</w:t>
      </w:r>
    </w:p>
    <w:p w14:paraId="60C5D3A5" w14:textId="77777777" w:rsidR="00E627B2" w:rsidRPr="00E627B2" w:rsidRDefault="00E627B2" w:rsidP="00E627B2">
      <w:pPr>
        <w:spacing w:line="360" w:lineRule="auto"/>
        <w:ind w:firstLine="708"/>
        <w:jc w:val="both"/>
        <w:rPr>
          <w:rFonts w:eastAsia="SimSun"/>
        </w:rPr>
      </w:pPr>
    </w:p>
    <w:p w14:paraId="789A10A2" w14:textId="339958B8" w:rsidR="0016796E" w:rsidRPr="0016796E" w:rsidRDefault="0016796E" w:rsidP="0016796E">
      <w:pPr>
        <w:spacing w:line="360" w:lineRule="auto"/>
        <w:ind w:firstLine="708"/>
        <w:jc w:val="both"/>
        <w:rPr>
          <w:rFonts w:eastAsia="SimSun"/>
        </w:rPr>
      </w:pPr>
      <w:r w:rsidRPr="0016796E">
        <w:rPr>
          <w:rFonts w:eastAsia="SimSun"/>
        </w:rPr>
        <w:t>Colocamo-nos ao dispor dos Nobres Edis para quaisquer esclarecimentos que se fizerem necessários, ao mesmo tempo em que renovamos os nossos cumprimentos.</w:t>
      </w:r>
    </w:p>
    <w:p w14:paraId="497D05D2" w14:textId="77777777" w:rsidR="0016796E" w:rsidRPr="0016796E" w:rsidRDefault="0016796E" w:rsidP="0016796E">
      <w:pPr>
        <w:spacing w:line="360" w:lineRule="auto"/>
        <w:ind w:firstLine="708"/>
        <w:jc w:val="both"/>
        <w:rPr>
          <w:rFonts w:eastAsia="SimSun"/>
        </w:rPr>
      </w:pPr>
    </w:p>
    <w:p w14:paraId="5C552394" w14:textId="77777777" w:rsidR="0016796E" w:rsidRPr="0016796E" w:rsidRDefault="0016796E" w:rsidP="0016796E">
      <w:pPr>
        <w:spacing w:line="360" w:lineRule="auto"/>
        <w:ind w:firstLine="708"/>
        <w:jc w:val="both"/>
        <w:rPr>
          <w:rFonts w:eastAsia="SimSun"/>
        </w:rPr>
      </w:pPr>
      <w:r w:rsidRPr="0016796E">
        <w:rPr>
          <w:rFonts w:eastAsia="SimSun"/>
        </w:rPr>
        <w:t>Assim, solicitamos a abertura de processo legislativo e aprovação do presente Projeto de Lei.</w:t>
      </w:r>
    </w:p>
    <w:p w14:paraId="0C46CABE" w14:textId="77777777" w:rsidR="001E3D57" w:rsidRPr="00570744" w:rsidRDefault="00D93417" w:rsidP="002B18CC">
      <w:pPr>
        <w:spacing w:line="360" w:lineRule="auto"/>
        <w:ind w:firstLine="708"/>
        <w:jc w:val="both"/>
        <w:rPr>
          <w:rFonts w:eastAsia="SimSun"/>
        </w:rPr>
      </w:pPr>
      <w:r w:rsidRPr="00570744">
        <w:rPr>
          <w:rFonts w:eastAsia="SimSun"/>
        </w:rPr>
        <w:tab/>
      </w:r>
      <w:r w:rsidRPr="00570744">
        <w:rPr>
          <w:rFonts w:eastAsia="SimSun"/>
        </w:rPr>
        <w:tab/>
      </w:r>
      <w:r w:rsidRPr="00570744">
        <w:rPr>
          <w:rFonts w:eastAsia="SimSun"/>
        </w:rPr>
        <w:tab/>
      </w:r>
    </w:p>
    <w:p w14:paraId="12DC9E50" w14:textId="322A5B26" w:rsidR="009576CB" w:rsidRPr="00570744" w:rsidRDefault="009576CB" w:rsidP="001E3D57">
      <w:pPr>
        <w:spacing w:line="360" w:lineRule="auto"/>
        <w:ind w:left="2124" w:firstLine="708"/>
        <w:jc w:val="both"/>
        <w:rPr>
          <w:rFonts w:eastAsia="SimSun"/>
        </w:rPr>
      </w:pPr>
      <w:r w:rsidRPr="00570744">
        <w:rPr>
          <w:rFonts w:eastAsia="SimSun"/>
        </w:rPr>
        <w:t xml:space="preserve">Salto do Jacuí, </w:t>
      </w:r>
      <w:r w:rsidR="00272AB0">
        <w:rPr>
          <w:rFonts w:eastAsia="SimSun"/>
        </w:rPr>
        <w:t>19</w:t>
      </w:r>
      <w:r w:rsidRPr="00570744">
        <w:rPr>
          <w:rFonts w:eastAsia="SimSun"/>
        </w:rPr>
        <w:t xml:space="preserve"> de </w:t>
      </w:r>
      <w:r w:rsidR="008B52A8">
        <w:rPr>
          <w:rFonts w:eastAsia="SimSun"/>
        </w:rPr>
        <w:t xml:space="preserve">Setembro </w:t>
      </w:r>
      <w:r w:rsidR="00570744">
        <w:rPr>
          <w:rFonts w:eastAsia="SimSun"/>
        </w:rPr>
        <w:t>de 202</w:t>
      </w:r>
      <w:r w:rsidR="00D806EC">
        <w:rPr>
          <w:rFonts w:eastAsia="SimSun"/>
        </w:rPr>
        <w:t>5</w:t>
      </w:r>
      <w:r w:rsidRPr="00570744">
        <w:rPr>
          <w:rFonts w:eastAsia="SimSun"/>
        </w:rPr>
        <w:t>.</w:t>
      </w:r>
    </w:p>
    <w:p w14:paraId="34B21AE3" w14:textId="77777777" w:rsidR="008B5B6C" w:rsidRDefault="008B5B6C" w:rsidP="002B18CC">
      <w:pPr>
        <w:spacing w:line="360" w:lineRule="auto"/>
        <w:rPr>
          <w:rFonts w:eastAsia="SimSun"/>
        </w:rPr>
      </w:pPr>
    </w:p>
    <w:p w14:paraId="2FBE364E" w14:textId="77777777" w:rsidR="00570744" w:rsidRPr="00570744" w:rsidRDefault="00570744" w:rsidP="002B18CC">
      <w:pPr>
        <w:spacing w:line="360" w:lineRule="auto"/>
        <w:rPr>
          <w:rFonts w:eastAsia="SimSun"/>
        </w:rPr>
      </w:pPr>
    </w:p>
    <w:p w14:paraId="2F361EE3" w14:textId="77777777" w:rsidR="00700E61" w:rsidRPr="00570744" w:rsidRDefault="008B5B6C" w:rsidP="002B18CC">
      <w:pPr>
        <w:spacing w:line="360" w:lineRule="auto"/>
        <w:rPr>
          <w:rFonts w:eastAsia="SimSun"/>
          <w:b/>
        </w:rPr>
      </w:pPr>
      <w:r w:rsidRPr="00570744">
        <w:rPr>
          <w:rFonts w:eastAsia="SimSun"/>
        </w:rPr>
        <w:t xml:space="preserve">                                     </w:t>
      </w:r>
      <w:r w:rsidR="00700E61" w:rsidRPr="00570744">
        <w:rPr>
          <w:rFonts w:eastAsia="SimSun"/>
          <w:b/>
        </w:rPr>
        <w:t>Ronaldo Olímpio Pereira de Moraes</w:t>
      </w:r>
    </w:p>
    <w:p w14:paraId="4A4BA80E" w14:textId="77777777" w:rsidR="007607A5" w:rsidRPr="00570744" w:rsidRDefault="007F6572" w:rsidP="002B18CC">
      <w:pPr>
        <w:spacing w:line="360" w:lineRule="auto"/>
        <w:jc w:val="center"/>
        <w:rPr>
          <w:rFonts w:eastAsia="SimSun"/>
        </w:rPr>
      </w:pPr>
      <w:r w:rsidRPr="00570744">
        <w:rPr>
          <w:rFonts w:eastAsia="SimSun"/>
          <w:b/>
        </w:rPr>
        <w:t>Prefeito Municipal</w:t>
      </w:r>
    </w:p>
    <w:sectPr w:rsidR="007607A5" w:rsidRPr="00570744" w:rsidSect="009A337D">
      <w:pgSz w:w="11906" w:h="16838"/>
      <w:pgMar w:top="2268" w:right="1361" w:bottom="1418"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00782"/>
    <w:multiLevelType w:val="hybridMultilevel"/>
    <w:tmpl w:val="FB6E32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FB81BA4"/>
    <w:multiLevelType w:val="hybridMultilevel"/>
    <w:tmpl w:val="FB6E32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02997685">
    <w:abstractNumId w:val="0"/>
  </w:num>
  <w:num w:numId="2" w16cid:durableId="1076173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52E"/>
    <w:rsid w:val="00034501"/>
    <w:rsid w:val="00070A33"/>
    <w:rsid w:val="0008604F"/>
    <w:rsid w:val="0009665B"/>
    <w:rsid w:val="000A509B"/>
    <w:rsid w:val="000B0938"/>
    <w:rsid w:val="000C5C13"/>
    <w:rsid w:val="000E1133"/>
    <w:rsid w:val="000E5217"/>
    <w:rsid w:val="001163DC"/>
    <w:rsid w:val="00116DAE"/>
    <w:rsid w:val="00124FE8"/>
    <w:rsid w:val="00134875"/>
    <w:rsid w:val="00154F77"/>
    <w:rsid w:val="0016796E"/>
    <w:rsid w:val="00175004"/>
    <w:rsid w:val="001840C8"/>
    <w:rsid w:val="001A6987"/>
    <w:rsid w:val="001B6E01"/>
    <w:rsid w:val="001D19FB"/>
    <w:rsid w:val="001E3D57"/>
    <w:rsid w:val="0020384C"/>
    <w:rsid w:val="00234BC3"/>
    <w:rsid w:val="0025022A"/>
    <w:rsid w:val="00272AB0"/>
    <w:rsid w:val="002737C3"/>
    <w:rsid w:val="0027481D"/>
    <w:rsid w:val="002859A8"/>
    <w:rsid w:val="00291EE6"/>
    <w:rsid w:val="002A020C"/>
    <w:rsid w:val="002B18CC"/>
    <w:rsid w:val="002D0535"/>
    <w:rsid w:val="002F7E4D"/>
    <w:rsid w:val="003303F7"/>
    <w:rsid w:val="003444C0"/>
    <w:rsid w:val="00357827"/>
    <w:rsid w:val="0037252E"/>
    <w:rsid w:val="0037713A"/>
    <w:rsid w:val="003843A7"/>
    <w:rsid w:val="0039723E"/>
    <w:rsid w:val="003A1BA9"/>
    <w:rsid w:val="003A6BD8"/>
    <w:rsid w:val="003C190D"/>
    <w:rsid w:val="003D2C50"/>
    <w:rsid w:val="003D360F"/>
    <w:rsid w:val="003F49AC"/>
    <w:rsid w:val="003F70CB"/>
    <w:rsid w:val="0043700F"/>
    <w:rsid w:val="00444037"/>
    <w:rsid w:val="0045208B"/>
    <w:rsid w:val="00464357"/>
    <w:rsid w:val="004C18BB"/>
    <w:rsid w:val="004C3EC7"/>
    <w:rsid w:val="004C668C"/>
    <w:rsid w:val="004C6BA4"/>
    <w:rsid w:val="004D36BC"/>
    <w:rsid w:val="004E1E6E"/>
    <w:rsid w:val="004F0DFE"/>
    <w:rsid w:val="004F763A"/>
    <w:rsid w:val="005226AC"/>
    <w:rsid w:val="00530DE5"/>
    <w:rsid w:val="00541A6A"/>
    <w:rsid w:val="00544F7B"/>
    <w:rsid w:val="00556A25"/>
    <w:rsid w:val="00570744"/>
    <w:rsid w:val="0057443B"/>
    <w:rsid w:val="00586395"/>
    <w:rsid w:val="00597C97"/>
    <w:rsid w:val="005A7668"/>
    <w:rsid w:val="005D7CB9"/>
    <w:rsid w:val="005F2BCD"/>
    <w:rsid w:val="005F3B69"/>
    <w:rsid w:val="005F5B81"/>
    <w:rsid w:val="00601DED"/>
    <w:rsid w:val="006109C3"/>
    <w:rsid w:val="00622DD2"/>
    <w:rsid w:val="00633F6C"/>
    <w:rsid w:val="006371F5"/>
    <w:rsid w:val="006707FC"/>
    <w:rsid w:val="00672E28"/>
    <w:rsid w:val="00676CCD"/>
    <w:rsid w:val="00681951"/>
    <w:rsid w:val="00690081"/>
    <w:rsid w:val="00696FAC"/>
    <w:rsid w:val="006A4CBF"/>
    <w:rsid w:val="006A752E"/>
    <w:rsid w:val="006B1C32"/>
    <w:rsid w:val="006F50C2"/>
    <w:rsid w:val="006F722D"/>
    <w:rsid w:val="00700E61"/>
    <w:rsid w:val="0071133D"/>
    <w:rsid w:val="00734EBA"/>
    <w:rsid w:val="00735776"/>
    <w:rsid w:val="007448D3"/>
    <w:rsid w:val="00747FDA"/>
    <w:rsid w:val="007607A5"/>
    <w:rsid w:val="0076340F"/>
    <w:rsid w:val="00763A49"/>
    <w:rsid w:val="007863C7"/>
    <w:rsid w:val="00787468"/>
    <w:rsid w:val="007B2AC8"/>
    <w:rsid w:val="007C575A"/>
    <w:rsid w:val="007F6572"/>
    <w:rsid w:val="00836EBB"/>
    <w:rsid w:val="008519AD"/>
    <w:rsid w:val="00855E47"/>
    <w:rsid w:val="0086634A"/>
    <w:rsid w:val="008A661B"/>
    <w:rsid w:val="008A6D53"/>
    <w:rsid w:val="008B1A49"/>
    <w:rsid w:val="008B52A8"/>
    <w:rsid w:val="008B5B6C"/>
    <w:rsid w:val="008C0AE8"/>
    <w:rsid w:val="008D7CFF"/>
    <w:rsid w:val="008D7F96"/>
    <w:rsid w:val="008E24B1"/>
    <w:rsid w:val="008E24D8"/>
    <w:rsid w:val="008E2559"/>
    <w:rsid w:val="009041B4"/>
    <w:rsid w:val="00930EBF"/>
    <w:rsid w:val="0094607A"/>
    <w:rsid w:val="009576CB"/>
    <w:rsid w:val="009755E4"/>
    <w:rsid w:val="00977E8F"/>
    <w:rsid w:val="009A337D"/>
    <w:rsid w:val="009B4C70"/>
    <w:rsid w:val="009B56CC"/>
    <w:rsid w:val="009B6DA2"/>
    <w:rsid w:val="009C07D8"/>
    <w:rsid w:val="009C1334"/>
    <w:rsid w:val="009D3AD9"/>
    <w:rsid w:val="009F5C6B"/>
    <w:rsid w:val="00A145B3"/>
    <w:rsid w:val="00A16CC0"/>
    <w:rsid w:val="00A24836"/>
    <w:rsid w:val="00A74453"/>
    <w:rsid w:val="00A83257"/>
    <w:rsid w:val="00A8365D"/>
    <w:rsid w:val="00A9242B"/>
    <w:rsid w:val="00AA55C6"/>
    <w:rsid w:val="00AF3A67"/>
    <w:rsid w:val="00B00401"/>
    <w:rsid w:val="00B0325B"/>
    <w:rsid w:val="00B110EB"/>
    <w:rsid w:val="00B44C24"/>
    <w:rsid w:val="00B6775A"/>
    <w:rsid w:val="00B84F2B"/>
    <w:rsid w:val="00B85D2A"/>
    <w:rsid w:val="00BA1C2E"/>
    <w:rsid w:val="00BB25F2"/>
    <w:rsid w:val="00BD491D"/>
    <w:rsid w:val="00BF2170"/>
    <w:rsid w:val="00BF3E1C"/>
    <w:rsid w:val="00C13109"/>
    <w:rsid w:val="00C1616C"/>
    <w:rsid w:val="00C34815"/>
    <w:rsid w:val="00C50489"/>
    <w:rsid w:val="00C537C6"/>
    <w:rsid w:val="00CA1853"/>
    <w:rsid w:val="00CA6209"/>
    <w:rsid w:val="00CA77F1"/>
    <w:rsid w:val="00D01CBA"/>
    <w:rsid w:val="00D0456B"/>
    <w:rsid w:val="00D06BF8"/>
    <w:rsid w:val="00D23A79"/>
    <w:rsid w:val="00D24566"/>
    <w:rsid w:val="00D26E50"/>
    <w:rsid w:val="00D508AE"/>
    <w:rsid w:val="00D72DFC"/>
    <w:rsid w:val="00D764DB"/>
    <w:rsid w:val="00D806EC"/>
    <w:rsid w:val="00D93417"/>
    <w:rsid w:val="00E21AA6"/>
    <w:rsid w:val="00E33E13"/>
    <w:rsid w:val="00E40B8A"/>
    <w:rsid w:val="00E44AC3"/>
    <w:rsid w:val="00E53F73"/>
    <w:rsid w:val="00E62713"/>
    <w:rsid w:val="00E627B2"/>
    <w:rsid w:val="00E6394E"/>
    <w:rsid w:val="00E70F75"/>
    <w:rsid w:val="00E76732"/>
    <w:rsid w:val="00EC0B39"/>
    <w:rsid w:val="00EC6A36"/>
    <w:rsid w:val="00EC6F5E"/>
    <w:rsid w:val="00ED355A"/>
    <w:rsid w:val="00ED3D22"/>
    <w:rsid w:val="00EF1DED"/>
    <w:rsid w:val="00F01E7D"/>
    <w:rsid w:val="00F16CDA"/>
    <w:rsid w:val="00F17355"/>
    <w:rsid w:val="00F61989"/>
    <w:rsid w:val="00F7140A"/>
    <w:rsid w:val="00F77633"/>
    <w:rsid w:val="00F93AA3"/>
    <w:rsid w:val="00F96ECD"/>
    <w:rsid w:val="00FB5ED3"/>
    <w:rsid w:val="00FC14E9"/>
    <w:rsid w:val="00FD2803"/>
    <w:rsid w:val="00FF09E9"/>
    <w:rsid w:val="00FF50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E4AF"/>
  <w15:docId w15:val="{3A07736B-499A-4D44-8B99-BD9D9F31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52E"/>
    <w:pPr>
      <w:spacing w:after="0" w:line="240" w:lineRule="auto"/>
    </w:pPr>
    <w:rPr>
      <w:rFonts w:eastAsia="Times New Roman" w:cs="Times New Roman"/>
      <w:szCs w:val="24"/>
      <w:lang w:eastAsia="pt-BR"/>
    </w:rPr>
  </w:style>
  <w:style w:type="paragraph" w:styleId="Ttulo1">
    <w:name w:val="heading 1"/>
    <w:basedOn w:val="Normal"/>
    <w:next w:val="Normal"/>
    <w:link w:val="Ttulo1Char"/>
    <w:uiPriority w:val="9"/>
    <w:qFormat/>
    <w:rsid w:val="00CA620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A752E"/>
  </w:style>
  <w:style w:type="table" w:styleId="Tabelacomgrade">
    <w:name w:val="Table Grid"/>
    <w:basedOn w:val="Tabelanormal"/>
    <w:uiPriority w:val="59"/>
    <w:rsid w:val="006A752E"/>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8A6D53"/>
    <w:rPr>
      <w:rFonts w:ascii="Segoe UI" w:hAnsi="Segoe UI" w:cs="Segoe UI"/>
      <w:sz w:val="18"/>
      <w:szCs w:val="18"/>
    </w:rPr>
  </w:style>
  <w:style w:type="character" w:customStyle="1" w:styleId="TextodebaloChar">
    <w:name w:val="Texto de balão Char"/>
    <w:basedOn w:val="Fontepargpadro"/>
    <w:link w:val="Textodebalo"/>
    <w:uiPriority w:val="99"/>
    <w:semiHidden/>
    <w:rsid w:val="008A6D53"/>
    <w:rPr>
      <w:rFonts w:ascii="Segoe UI" w:eastAsia="Times New Roman" w:hAnsi="Segoe UI" w:cs="Segoe UI"/>
      <w:sz w:val="18"/>
      <w:szCs w:val="18"/>
      <w:lang w:eastAsia="pt-BR"/>
    </w:rPr>
  </w:style>
  <w:style w:type="paragraph" w:styleId="PargrafodaLista">
    <w:name w:val="List Paragraph"/>
    <w:basedOn w:val="Normal"/>
    <w:uiPriority w:val="34"/>
    <w:qFormat/>
    <w:rsid w:val="00D764D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har">
    <w:name w:val="Título 1 Char"/>
    <w:basedOn w:val="Fontepargpadro"/>
    <w:link w:val="Ttulo1"/>
    <w:uiPriority w:val="9"/>
    <w:rsid w:val="00CA6209"/>
    <w:rPr>
      <w:rFonts w:asciiTheme="majorHAnsi" w:eastAsiaTheme="majorEastAsia" w:hAnsiTheme="majorHAnsi" w:cstheme="majorBidi"/>
      <w:b/>
      <w:bCs/>
      <w:color w:val="2E74B5" w:themeColor="accent1" w:themeShade="BF"/>
      <w:sz w:val="28"/>
      <w:szCs w:val="28"/>
      <w:lang w:eastAsia="pt-BR"/>
    </w:rPr>
  </w:style>
  <w:style w:type="character" w:styleId="Hyperlink">
    <w:name w:val="Hyperlink"/>
    <w:basedOn w:val="Fontepargpadro"/>
    <w:uiPriority w:val="99"/>
    <w:semiHidden/>
    <w:unhideWhenUsed/>
    <w:rsid w:val="00BD491D"/>
    <w:rPr>
      <w:color w:val="0000FF"/>
      <w:u w:val="single"/>
    </w:rPr>
  </w:style>
  <w:style w:type="character" w:styleId="Forte">
    <w:name w:val="Strong"/>
    <w:basedOn w:val="Fontepargpadro"/>
    <w:uiPriority w:val="22"/>
    <w:qFormat/>
    <w:rsid w:val="002B1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360055">
      <w:bodyDiv w:val="1"/>
      <w:marLeft w:val="0"/>
      <w:marRight w:val="0"/>
      <w:marTop w:val="0"/>
      <w:marBottom w:val="0"/>
      <w:divBdr>
        <w:top w:val="none" w:sz="0" w:space="0" w:color="auto"/>
        <w:left w:val="none" w:sz="0" w:space="0" w:color="auto"/>
        <w:bottom w:val="none" w:sz="0" w:space="0" w:color="auto"/>
        <w:right w:val="none" w:sz="0" w:space="0" w:color="auto"/>
      </w:divBdr>
    </w:div>
    <w:div w:id="1564441428">
      <w:bodyDiv w:val="1"/>
      <w:marLeft w:val="0"/>
      <w:marRight w:val="0"/>
      <w:marTop w:val="0"/>
      <w:marBottom w:val="0"/>
      <w:divBdr>
        <w:top w:val="none" w:sz="0" w:space="0" w:color="auto"/>
        <w:left w:val="none" w:sz="0" w:space="0" w:color="auto"/>
        <w:bottom w:val="none" w:sz="0" w:space="0" w:color="auto"/>
        <w:right w:val="none" w:sz="0" w:space="0" w:color="auto"/>
      </w:divBdr>
    </w:div>
    <w:div w:id="1794057324">
      <w:bodyDiv w:val="1"/>
      <w:marLeft w:val="0"/>
      <w:marRight w:val="0"/>
      <w:marTop w:val="0"/>
      <w:marBottom w:val="0"/>
      <w:divBdr>
        <w:top w:val="none" w:sz="0" w:space="0" w:color="auto"/>
        <w:left w:val="none" w:sz="0" w:space="0" w:color="auto"/>
        <w:bottom w:val="none" w:sz="0" w:space="0" w:color="auto"/>
        <w:right w:val="none" w:sz="0" w:space="0" w:color="auto"/>
      </w:divBdr>
    </w:div>
    <w:div w:id="2132085604">
      <w:bodyDiv w:val="1"/>
      <w:marLeft w:val="0"/>
      <w:marRight w:val="0"/>
      <w:marTop w:val="0"/>
      <w:marBottom w:val="0"/>
      <w:divBdr>
        <w:top w:val="none" w:sz="0" w:space="0" w:color="auto"/>
        <w:left w:val="none" w:sz="0" w:space="0" w:color="auto"/>
        <w:bottom w:val="none" w:sz="0" w:space="0" w:color="auto"/>
        <w:right w:val="none" w:sz="0" w:space="0" w:color="auto"/>
      </w:divBdr>
      <w:divsChild>
        <w:div w:id="98533075">
          <w:marLeft w:val="0"/>
          <w:marRight w:val="0"/>
          <w:marTop w:val="0"/>
          <w:marBottom w:val="0"/>
          <w:divBdr>
            <w:top w:val="none" w:sz="0" w:space="0" w:color="auto"/>
            <w:left w:val="none" w:sz="0" w:space="0" w:color="auto"/>
            <w:bottom w:val="none" w:sz="0" w:space="0" w:color="auto"/>
            <w:right w:val="none" w:sz="0" w:space="0" w:color="auto"/>
          </w:divBdr>
        </w:div>
        <w:div w:id="262616540">
          <w:marLeft w:val="0"/>
          <w:marRight w:val="0"/>
          <w:marTop w:val="0"/>
          <w:marBottom w:val="0"/>
          <w:divBdr>
            <w:top w:val="none" w:sz="0" w:space="0" w:color="auto"/>
            <w:left w:val="none" w:sz="0" w:space="0" w:color="auto"/>
            <w:bottom w:val="none" w:sz="0" w:space="0" w:color="auto"/>
            <w:right w:val="none" w:sz="0" w:space="0" w:color="auto"/>
          </w:divBdr>
        </w:div>
        <w:div w:id="1333679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AD3E7-7A93-455E-A51B-E3C86F3A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1076</Words>
  <Characters>5812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xxx</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Juridico 05</cp:lastModifiedBy>
  <cp:revision>3</cp:revision>
  <cp:lastPrinted>2025-09-19T17:12:00Z</cp:lastPrinted>
  <dcterms:created xsi:type="dcterms:W3CDTF">2025-09-19T17:11:00Z</dcterms:created>
  <dcterms:modified xsi:type="dcterms:W3CDTF">2025-09-19T17:28:00Z</dcterms:modified>
</cp:coreProperties>
</file>