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1CF7" w14:textId="37E8A2C4" w:rsidR="003E71F2" w:rsidRPr="000157F3" w:rsidRDefault="003E71F2" w:rsidP="003E71F2">
      <w:pPr>
        <w:spacing w:line="360" w:lineRule="auto"/>
        <w:jc w:val="center"/>
        <w:rPr>
          <w:rFonts w:ascii="Comic Sans MS" w:hAnsi="Comic Sans MS"/>
          <w:b/>
          <w:color w:val="000000"/>
          <w:u w:val="single"/>
        </w:rPr>
      </w:pPr>
      <w:r w:rsidRPr="000157F3">
        <w:rPr>
          <w:rFonts w:ascii="Comic Sans MS" w:hAnsi="Comic Sans MS"/>
          <w:b/>
          <w:color w:val="000000"/>
          <w:u w:val="single"/>
        </w:rPr>
        <w:t xml:space="preserve">MOÇÃO DE </w:t>
      </w:r>
      <w:r w:rsidR="004D4B18">
        <w:rPr>
          <w:rFonts w:ascii="Comic Sans MS" w:hAnsi="Comic Sans MS"/>
          <w:b/>
          <w:color w:val="000000"/>
          <w:u w:val="single"/>
        </w:rPr>
        <w:t>REPÚDIO</w:t>
      </w:r>
      <w:r w:rsidRPr="000157F3">
        <w:rPr>
          <w:rFonts w:ascii="Comic Sans MS" w:hAnsi="Comic Sans MS"/>
          <w:b/>
          <w:color w:val="000000"/>
          <w:u w:val="single"/>
        </w:rPr>
        <w:t xml:space="preserve"> Nº</w:t>
      </w:r>
      <w:r w:rsidR="009C2AA8">
        <w:rPr>
          <w:rFonts w:ascii="Comic Sans MS" w:hAnsi="Comic Sans MS"/>
          <w:b/>
          <w:color w:val="000000"/>
          <w:u w:val="single"/>
        </w:rPr>
        <w:t xml:space="preserve"> 08</w:t>
      </w:r>
      <w:r w:rsidRPr="000157F3">
        <w:rPr>
          <w:rFonts w:ascii="Comic Sans MS" w:hAnsi="Comic Sans MS"/>
          <w:b/>
          <w:color w:val="000000"/>
          <w:u w:val="single"/>
        </w:rPr>
        <w:t>/202</w:t>
      </w:r>
      <w:r w:rsidR="009C2AA8">
        <w:rPr>
          <w:rFonts w:ascii="Comic Sans MS" w:hAnsi="Comic Sans MS"/>
          <w:b/>
          <w:color w:val="000000"/>
          <w:u w:val="single"/>
        </w:rPr>
        <w:t>3</w:t>
      </w:r>
    </w:p>
    <w:p w14:paraId="3449F677" w14:textId="481C8156" w:rsidR="00D861A4" w:rsidRDefault="00D861A4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 w:rsidRPr="00D861A4">
        <w:rPr>
          <w:rFonts w:ascii="Comic Sans MS" w:hAnsi="Comic Sans MS"/>
          <w:color w:val="000000"/>
        </w:rPr>
        <w:t xml:space="preserve">A </w:t>
      </w:r>
      <w:r w:rsidRPr="00D861A4">
        <w:rPr>
          <w:rFonts w:ascii="Comic Sans MS" w:hAnsi="Comic Sans MS"/>
          <w:b/>
          <w:color w:val="000000"/>
        </w:rPr>
        <w:t>Câmara Municipal de Salto do Jacuí</w:t>
      </w:r>
      <w:r w:rsidRPr="00D861A4">
        <w:rPr>
          <w:rFonts w:ascii="Comic Sans MS" w:hAnsi="Comic Sans MS"/>
          <w:color w:val="000000"/>
        </w:rPr>
        <w:t>, através d</w:t>
      </w:r>
      <w:r w:rsidR="007F61DB">
        <w:rPr>
          <w:rFonts w:ascii="Comic Sans MS" w:hAnsi="Comic Sans MS"/>
          <w:color w:val="000000"/>
        </w:rPr>
        <w:t>a</w:t>
      </w:r>
      <w:r w:rsidRPr="00D861A4">
        <w:rPr>
          <w:rFonts w:ascii="Comic Sans MS" w:hAnsi="Comic Sans MS"/>
          <w:color w:val="000000"/>
        </w:rPr>
        <w:t xml:space="preserve"> vereador</w:t>
      </w:r>
      <w:r w:rsidR="007F61DB">
        <w:rPr>
          <w:rFonts w:ascii="Comic Sans MS" w:hAnsi="Comic Sans MS"/>
          <w:color w:val="000000"/>
        </w:rPr>
        <w:t xml:space="preserve">a proponente </w:t>
      </w:r>
      <w:proofErr w:type="spellStart"/>
      <w:r w:rsidR="007F61DB">
        <w:rPr>
          <w:rFonts w:ascii="Comic Sans MS" w:hAnsi="Comic Sans MS"/>
          <w:color w:val="000000"/>
        </w:rPr>
        <w:t>Cleres</w:t>
      </w:r>
      <w:proofErr w:type="spellEnd"/>
      <w:r w:rsidR="007F61DB">
        <w:rPr>
          <w:rFonts w:ascii="Comic Sans MS" w:hAnsi="Comic Sans MS"/>
          <w:color w:val="000000"/>
        </w:rPr>
        <w:t xml:space="preserve"> Maria Cavalheiro </w:t>
      </w:r>
      <w:proofErr w:type="spellStart"/>
      <w:r w:rsidR="007F61DB">
        <w:rPr>
          <w:rFonts w:ascii="Comic Sans MS" w:hAnsi="Comic Sans MS"/>
          <w:color w:val="000000"/>
        </w:rPr>
        <w:t>Revelante</w:t>
      </w:r>
      <w:proofErr w:type="spellEnd"/>
      <w:r w:rsidR="007F61DB">
        <w:rPr>
          <w:rFonts w:ascii="Comic Sans MS" w:hAnsi="Comic Sans MS"/>
          <w:color w:val="000000"/>
        </w:rPr>
        <w:t>, de acordo com os demais Vereadores e Vereadoras desta Casa Legislativa</w:t>
      </w:r>
      <w:r w:rsidRPr="00D861A4">
        <w:rPr>
          <w:rFonts w:ascii="Comic Sans MS" w:hAnsi="Comic Sans MS"/>
          <w:color w:val="000000"/>
        </w:rPr>
        <w:t xml:space="preserve">, vem, na forma regimental, apresentar </w:t>
      </w:r>
      <w:r w:rsidRPr="00D861A4">
        <w:rPr>
          <w:rFonts w:ascii="Comic Sans MS" w:hAnsi="Comic Sans MS"/>
          <w:b/>
          <w:color w:val="000000"/>
        </w:rPr>
        <w:t xml:space="preserve">MOÇÃO DE REPÚDIO, </w:t>
      </w:r>
      <w:r w:rsidRPr="00D861A4">
        <w:rPr>
          <w:rFonts w:ascii="Comic Sans MS" w:hAnsi="Comic Sans MS"/>
          <w:color w:val="000000"/>
        </w:rPr>
        <w:t xml:space="preserve">contra </w:t>
      </w:r>
      <w:r w:rsidR="007F61DB">
        <w:rPr>
          <w:rFonts w:ascii="Comic Sans MS" w:hAnsi="Comic Sans MS"/>
          <w:color w:val="000000"/>
        </w:rPr>
        <w:t xml:space="preserve">a Ação de reintegração de posse ajuizada pela CEEE, Companhia Estadual de Energia Elétrica do Estado do Rio Grande do Sul em face dos indígenas Caingangues que estão no território </w:t>
      </w:r>
      <w:proofErr w:type="spellStart"/>
      <w:r w:rsidR="009C2AA8">
        <w:rPr>
          <w:rFonts w:ascii="Comic Sans MS" w:hAnsi="Comic Sans MS"/>
          <w:color w:val="000000"/>
        </w:rPr>
        <w:t>H</w:t>
      </w:r>
      <w:r w:rsidR="007F61DB">
        <w:rPr>
          <w:rFonts w:ascii="Comic Sans MS" w:hAnsi="Comic Sans MS"/>
          <w:color w:val="000000"/>
        </w:rPr>
        <w:t>ortoflorestal</w:t>
      </w:r>
      <w:proofErr w:type="spellEnd"/>
      <w:r w:rsidR="007F61DB">
        <w:rPr>
          <w:rFonts w:ascii="Comic Sans MS" w:hAnsi="Comic Sans MS"/>
          <w:color w:val="000000"/>
        </w:rPr>
        <w:t xml:space="preserve"> do Sistema </w:t>
      </w:r>
      <w:r w:rsidR="00683339">
        <w:rPr>
          <w:rFonts w:ascii="Comic Sans MS" w:hAnsi="Comic Sans MS"/>
          <w:color w:val="000000"/>
        </w:rPr>
        <w:t>Jacuí.</w:t>
      </w:r>
      <w:r w:rsidRPr="00D861A4">
        <w:rPr>
          <w:rFonts w:ascii="Comic Sans MS" w:hAnsi="Comic Sans MS"/>
          <w:color w:val="000000"/>
        </w:rPr>
        <w:t xml:space="preserve"> </w:t>
      </w:r>
    </w:p>
    <w:p w14:paraId="6DE0B9A8" w14:textId="08198912" w:rsidR="007F61DB" w:rsidRDefault="00D861A4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 w:rsidRPr="00D861A4">
        <w:rPr>
          <w:rFonts w:ascii="Comic Sans MS" w:hAnsi="Comic Sans MS"/>
          <w:color w:val="000000"/>
        </w:rPr>
        <w:t xml:space="preserve">Considerando </w:t>
      </w:r>
      <w:r w:rsidR="007F61DB">
        <w:rPr>
          <w:rFonts w:ascii="Comic Sans MS" w:hAnsi="Comic Sans MS"/>
          <w:color w:val="000000"/>
        </w:rPr>
        <w:t>que esta decisão está baseada em fatos e realidade completamente desatualizadas e não condiz com a realidade atual desta Comunidade indígena;</w:t>
      </w:r>
    </w:p>
    <w:p w14:paraId="56AC1A88" w14:textId="060278C7" w:rsidR="007F61DB" w:rsidRDefault="00DC6533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Considerando que hoje não é a CEEE a empresa proprietária desta área, fato de decorrente da privatização da mesma;</w:t>
      </w:r>
    </w:p>
    <w:p w14:paraId="27E01454" w14:textId="2075CF49" w:rsidR="00DC6533" w:rsidRDefault="00DC6533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Considerando que o território colocado como possível local para alocação desta comunidade, é território reconhecido de povos remanescente de quilombo, (422 hectares, no distrito de Júlio Borges; </w:t>
      </w:r>
    </w:p>
    <w:p w14:paraId="15C9B7A5" w14:textId="382C8EFA" w:rsidR="00DC6533" w:rsidRDefault="00DC6533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Considerando que a comunidade Caingangue </w:t>
      </w:r>
      <w:proofErr w:type="spellStart"/>
      <w:r>
        <w:rPr>
          <w:rFonts w:ascii="Comic Sans MS" w:hAnsi="Comic Sans MS"/>
          <w:color w:val="000000"/>
        </w:rPr>
        <w:t>Hortoflorestal</w:t>
      </w:r>
      <w:proofErr w:type="spellEnd"/>
      <w:r>
        <w:rPr>
          <w:rFonts w:ascii="Comic Sans MS" w:hAnsi="Comic Sans MS"/>
          <w:color w:val="000000"/>
        </w:rPr>
        <w:t xml:space="preserve"> está nesta área há 23 anos, sendo reconhecida pelo estado como povos originários, prova disso é a estrutura estabelecida no local, com Escola pública Estadual Indígena Almerinda de Melo e Equipe da SESAI, Secretaria Estadual de Saúde Indígena, além do atendimento e orientação da Fundação Nacional dos Povos indígenas;</w:t>
      </w:r>
    </w:p>
    <w:p w14:paraId="6CF818E8" w14:textId="51667844" w:rsidR="00DC6533" w:rsidRDefault="00DC6533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Considerando que tal decisão judicial é arbitrária, pois segundo relatos</w:t>
      </w:r>
      <w:r w:rsidR="0004507B">
        <w:rPr>
          <w:rFonts w:ascii="Comic Sans MS" w:hAnsi="Comic Sans MS"/>
          <w:color w:val="000000"/>
        </w:rPr>
        <w:t xml:space="preserve"> da liderança,</w:t>
      </w:r>
      <w:r>
        <w:rPr>
          <w:rFonts w:ascii="Comic Sans MS" w:hAnsi="Comic Sans MS"/>
          <w:color w:val="000000"/>
        </w:rPr>
        <w:t xml:space="preserve"> em nenhum momento</w:t>
      </w:r>
      <w:r w:rsidR="0004507B">
        <w:rPr>
          <w:rFonts w:ascii="Comic Sans MS" w:hAnsi="Comic Sans MS"/>
          <w:color w:val="000000"/>
        </w:rPr>
        <w:t xml:space="preserve"> a comunidade teve qualquer participação no processo;</w:t>
      </w:r>
    </w:p>
    <w:p w14:paraId="6320B86B" w14:textId="796668F1" w:rsidR="0004507B" w:rsidRDefault="0004507B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Considerando que havia uma discussão coma a </w:t>
      </w:r>
      <w:r w:rsidR="003635F2">
        <w:rPr>
          <w:rFonts w:ascii="Comic Sans MS" w:hAnsi="Comic Sans MS"/>
          <w:color w:val="000000"/>
        </w:rPr>
        <w:t>FUNAI e</w:t>
      </w:r>
      <w:r>
        <w:rPr>
          <w:rFonts w:ascii="Comic Sans MS" w:hAnsi="Comic Sans MS"/>
          <w:color w:val="000000"/>
        </w:rPr>
        <w:t xml:space="preserve"> Estado de </w:t>
      </w:r>
      <w:r w:rsidR="003635F2">
        <w:rPr>
          <w:rFonts w:ascii="Comic Sans MS" w:hAnsi="Comic Sans MS"/>
          <w:color w:val="000000"/>
        </w:rPr>
        <w:t>que esta</w:t>
      </w:r>
      <w:r>
        <w:rPr>
          <w:rFonts w:ascii="Comic Sans MS" w:hAnsi="Comic Sans MS"/>
          <w:color w:val="000000"/>
        </w:rPr>
        <w:t xml:space="preserve"> área deveria entrar em acerto de contas entre Estado e União, quando a FUNAI teria interesse de realizar a regularização fundiária da área à esta comunidade;</w:t>
      </w:r>
    </w:p>
    <w:p w14:paraId="1EC3C5E4" w14:textId="3AFFA9E3" w:rsidR="0004507B" w:rsidRDefault="0004507B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Considerando especialmente o tempo em que estas famílias estão no local, estabelecido o vínculo de pertencimento e a identidade com o local, sendo que a comunidade é feita de 35 famílias, somando-se aproximadamente 147 pessoas;</w:t>
      </w:r>
    </w:p>
    <w:p w14:paraId="7D254C5E" w14:textId="693883FE" w:rsidR="0004507B" w:rsidRDefault="0004507B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lastRenderedPageBreak/>
        <w:t xml:space="preserve">Entendemos que a referida decisão é arbitrária e precisa ser reavaliada, devendo ser suspensa até que o Estado garanta território definitivo </w:t>
      </w:r>
      <w:r w:rsidR="003F4108">
        <w:rPr>
          <w:rFonts w:ascii="Comic Sans MS" w:hAnsi="Comic Sans MS"/>
          <w:color w:val="000000"/>
        </w:rPr>
        <w:t>para</w:t>
      </w:r>
      <w:r>
        <w:rPr>
          <w:rFonts w:ascii="Comic Sans MS" w:hAnsi="Comic Sans MS"/>
          <w:color w:val="000000"/>
        </w:rPr>
        <w:t xml:space="preserve"> esta comunidade que não pode ser expulsa do local, sem nenhum território disponível para a sua realocação.</w:t>
      </w:r>
    </w:p>
    <w:p w14:paraId="2BA955CD" w14:textId="1F399773" w:rsidR="00D861A4" w:rsidRDefault="00D861A4" w:rsidP="00D861A4">
      <w:pPr>
        <w:spacing w:after="0"/>
        <w:ind w:firstLine="1418"/>
        <w:jc w:val="both"/>
        <w:rPr>
          <w:rFonts w:ascii="Comic Sans MS" w:hAnsi="Comic Sans MS"/>
          <w:color w:val="000000"/>
        </w:rPr>
      </w:pPr>
      <w:r w:rsidRPr="00D861A4">
        <w:rPr>
          <w:rFonts w:ascii="Comic Sans MS" w:hAnsi="Comic Sans MS"/>
          <w:color w:val="000000"/>
        </w:rPr>
        <w:t>Sendo assim, apresentamos esta Moção de Repúdio ao Exmo. Sr. Governador do Estado,</w:t>
      </w:r>
      <w:r w:rsidR="0004507B">
        <w:rPr>
          <w:rFonts w:ascii="Comic Sans MS" w:hAnsi="Comic Sans MS"/>
          <w:color w:val="000000"/>
        </w:rPr>
        <w:t xml:space="preserve"> ressaltando que este documento deverá ser entregue a </w:t>
      </w:r>
      <w:r w:rsidR="00683339">
        <w:rPr>
          <w:rFonts w:ascii="Comic Sans MS" w:hAnsi="Comic Sans MS"/>
          <w:color w:val="000000"/>
        </w:rPr>
        <w:t>todos os órgãos</w:t>
      </w:r>
      <w:r w:rsidR="0004507B">
        <w:rPr>
          <w:rFonts w:ascii="Comic Sans MS" w:hAnsi="Comic Sans MS"/>
          <w:color w:val="000000"/>
        </w:rPr>
        <w:t xml:space="preserve"> Estaduais e da União que deverão ser chamados </w:t>
      </w:r>
      <w:r w:rsidR="003F4108">
        <w:rPr>
          <w:rFonts w:ascii="Comic Sans MS" w:hAnsi="Comic Sans MS"/>
          <w:color w:val="000000"/>
        </w:rPr>
        <w:t>a responsabilização para esta situação</w:t>
      </w:r>
      <w:r w:rsidRPr="00D861A4">
        <w:rPr>
          <w:rFonts w:ascii="Comic Sans MS" w:hAnsi="Comic Sans MS"/>
          <w:color w:val="000000"/>
        </w:rPr>
        <w:t xml:space="preserve">. </w:t>
      </w:r>
    </w:p>
    <w:p w14:paraId="7932A50C" w14:textId="77777777" w:rsidR="00D861A4" w:rsidRPr="005A5DB9" w:rsidRDefault="00D861A4" w:rsidP="005A5DB9">
      <w:pPr>
        <w:spacing w:after="0"/>
        <w:ind w:firstLine="1418"/>
        <w:jc w:val="both"/>
        <w:rPr>
          <w:rFonts w:ascii="Comic Sans MS" w:hAnsi="Comic Sans MS"/>
          <w:color w:val="000000"/>
        </w:rPr>
      </w:pPr>
    </w:p>
    <w:p w14:paraId="26F2ABCE" w14:textId="2E89B660" w:rsidR="0060749D" w:rsidRDefault="00C22BC5" w:rsidP="003400F5">
      <w:pPr>
        <w:spacing w:after="120" w:line="360" w:lineRule="auto"/>
        <w:jc w:val="center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 xml:space="preserve">Câmara Municipal de Vereadores de Salto do Jacuí/RS, </w:t>
      </w:r>
      <w:r w:rsidR="003635F2">
        <w:rPr>
          <w:rFonts w:ascii="Comic Sans MS" w:hAnsi="Comic Sans MS"/>
          <w:color w:val="000000"/>
        </w:rPr>
        <w:t>21</w:t>
      </w:r>
      <w:r>
        <w:rPr>
          <w:rFonts w:ascii="Comic Sans MS" w:hAnsi="Comic Sans MS"/>
          <w:color w:val="000000"/>
        </w:rPr>
        <w:t xml:space="preserve"> </w:t>
      </w:r>
      <w:r w:rsidR="00B4166F">
        <w:rPr>
          <w:rFonts w:ascii="Comic Sans MS" w:hAnsi="Comic Sans MS"/>
          <w:color w:val="000000"/>
        </w:rPr>
        <w:t xml:space="preserve">de </w:t>
      </w:r>
      <w:r w:rsidR="003F4108">
        <w:rPr>
          <w:rFonts w:ascii="Comic Sans MS" w:hAnsi="Comic Sans MS"/>
          <w:color w:val="000000"/>
        </w:rPr>
        <w:t>agosto</w:t>
      </w:r>
      <w:r w:rsidR="003E71F2">
        <w:rPr>
          <w:rFonts w:ascii="Comic Sans MS" w:hAnsi="Comic Sans MS"/>
          <w:color w:val="000000"/>
        </w:rPr>
        <w:t xml:space="preserve"> de 202</w:t>
      </w:r>
      <w:r w:rsidR="003F4108">
        <w:rPr>
          <w:rFonts w:ascii="Comic Sans MS" w:hAnsi="Comic Sans MS"/>
          <w:color w:val="000000"/>
        </w:rPr>
        <w:t>3</w:t>
      </w:r>
      <w:r>
        <w:rPr>
          <w:rFonts w:ascii="Comic Sans MS" w:hAnsi="Comic Sans MS"/>
          <w:color w:val="000000"/>
        </w:rPr>
        <w:t>.</w:t>
      </w:r>
    </w:p>
    <w:p w14:paraId="6D4CFDC0" w14:textId="77777777" w:rsidR="003635F2" w:rsidRPr="003635F2" w:rsidRDefault="003635F2" w:rsidP="003635F2">
      <w:pPr>
        <w:spacing w:after="160" w:line="360" w:lineRule="auto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___________________________</w:t>
      </w:r>
    </w:p>
    <w:p w14:paraId="3DAF9EEB" w14:textId="77777777" w:rsidR="003635F2" w:rsidRPr="003635F2" w:rsidRDefault="003635F2" w:rsidP="003635F2">
      <w:pPr>
        <w:spacing w:after="160" w:line="240" w:lineRule="auto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Altenir</w:t>
      </w:r>
      <w:proofErr w:type="spellEnd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Rodrigues da Silva</w:t>
      </w:r>
    </w:p>
    <w:p w14:paraId="15707411" w14:textId="77777777" w:rsidR="003635F2" w:rsidRPr="003635F2" w:rsidRDefault="003635F2" w:rsidP="003635F2">
      <w:pPr>
        <w:spacing w:after="160" w:line="240" w:lineRule="auto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Presidente do Legislativo</w:t>
      </w:r>
    </w:p>
    <w:p w14:paraId="162169B9" w14:textId="77777777" w:rsidR="003635F2" w:rsidRPr="003635F2" w:rsidRDefault="003635F2" w:rsidP="003635F2">
      <w:pPr>
        <w:spacing w:after="160" w:line="360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___________________________                        ___________________________</w:t>
      </w:r>
    </w:p>
    <w:p w14:paraId="1AE1A4DE" w14:textId="77777777" w:rsidR="003635F2" w:rsidRPr="003635F2" w:rsidRDefault="003635F2" w:rsidP="003635F2">
      <w:pPr>
        <w:spacing w:after="160" w:line="240" w:lineRule="auto"/>
        <w:ind w:left="282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Sandro </w:t>
      </w:r>
      <w:proofErr w:type="spellStart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Drum</w:t>
      </w:r>
      <w:proofErr w:type="spellEnd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                                   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  <w:t xml:space="preserve">   </w:t>
      </w:r>
      <w:proofErr w:type="spellStart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Cleres</w:t>
      </w:r>
      <w:proofErr w:type="spellEnd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Maria Cavalheiro </w:t>
      </w:r>
      <w:proofErr w:type="spellStart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Revelante</w:t>
      </w:r>
      <w:proofErr w:type="spellEnd"/>
    </w:p>
    <w:p w14:paraId="5D7E9723" w14:textId="4506DC2F" w:rsidR="003635F2" w:rsidRPr="003635F2" w:rsidRDefault="003635F2" w:rsidP="003635F2">
      <w:pPr>
        <w:spacing w:after="160" w:line="240" w:lineRule="auto"/>
        <w:ind w:left="-426" w:firstLine="1134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         Vereador MDB                           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Vereadora PT</w:t>
      </w:r>
      <w:r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- Proponente</w:t>
      </w:r>
    </w:p>
    <w:p w14:paraId="5C790649" w14:textId="77777777" w:rsidR="003635F2" w:rsidRPr="003635F2" w:rsidRDefault="003635F2" w:rsidP="003635F2">
      <w:pPr>
        <w:spacing w:after="160" w:line="360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___________________________                       ___________________________</w:t>
      </w:r>
    </w:p>
    <w:p w14:paraId="29F2FFEE" w14:textId="77777777" w:rsidR="003635F2" w:rsidRPr="003635F2" w:rsidRDefault="003635F2" w:rsidP="003635F2">
      <w:pPr>
        <w:spacing w:after="160" w:line="240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Gildo de Oliveira Brandão                            Jane Elizete Ferreira Martins da Silva</w:t>
      </w:r>
    </w:p>
    <w:p w14:paraId="6A510608" w14:textId="77777777" w:rsidR="003635F2" w:rsidRPr="003635F2" w:rsidRDefault="003635F2" w:rsidP="003635F2">
      <w:pPr>
        <w:spacing w:after="160" w:line="240" w:lineRule="auto"/>
        <w:ind w:left="-426" w:firstLine="1134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             Vereador MDB                                                           Vereadora PDT</w:t>
      </w:r>
    </w:p>
    <w:p w14:paraId="41614011" w14:textId="77777777" w:rsidR="003635F2" w:rsidRPr="003635F2" w:rsidRDefault="003635F2" w:rsidP="003635F2">
      <w:pPr>
        <w:spacing w:after="160" w:line="259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___________________________                       ___________________________</w:t>
      </w:r>
    </w:p>
    <w:p w14:paraId="4AE399E0" w14:textId="77777777" w:rsidR="003635F2" w:rsidRPr="003635F2" w:rsidRDefault="003635F2" w:rsidP="003635F2">
      <w:pPr>
        <w:spacing w:after="160" w:line="240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José Jair Borges                                        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  <w:t xml:space="preserve"> José Sérgio de Carvalho</w:t>
      </w:r>
    </w:p>
    <w:p w14:paraId="18930E14" w14:textId="77777777" w:rsidR="003635F2" w:rsidRPr="003635F2" w:rsidRDefault="003635F2" w:rsidP="003635F2">
      <w:pPr>
        <w:spacing w:after="160" w:line="240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Vereador PDT                                            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  <w:t xml:space="preserve"> Vereador Progressistas</w:t>
      </w:r>
    </w:p>
    <w:p w14:paraId="5C8FD7BA" w14:textId="77777777" w:rsidR="003635F2" w:rsidRPr="003635F2" w:rsidRDefault="003635F2" w:rsidP="003635F2">
      <w:pPr>
        <w:spacing w:after="160" w:line="360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___________________________                       ___________________________</w:t>
      </w:r>
    </w:p>
    <w:p w14:paraId="1553D8D5" w14:textId="77777777" w:rsidR="003635F2" w:rsidRPr="003635F2" w:rsidRDefault="003635F2" w:rsidP="003635F2">
      <w:pPr>
        <w:spacing w:after="160" w:line="259" w:lineRule="auto"/>
        <w:ind w:left="-426" w:firstLine="426"/>
        <w:jc w:val="center"/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Orquelita</w:t>
      </w:r>
      <w:proofErr w:type="spellEnd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Salgado da Costa                     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  <w:t xml:space="preserve"> 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  <w:t xml:space="preserve"> Priscila </w:t>
      </w:r>
      <w:proofErr w:type="spellStart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Tramontini</w:t>
      </w:r>
      <w:proofErr w:type="spellEnd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>Spacil</w:t>
      </w:r>
      <w:proofErr w:type="spellEnd"/>
    </w:p>
    <w:p w14:paraId="3C832C7B" w14:textId="4CB22A30" w:rsidR="003F4108" w:rsidRPr="003635F2" w:rsidRDefault="003635F2" w:rsidP="003635F2">
      <w:pPr>
        <w:tabs>
          <w:tab w:val="left" w:pos="4170"/>
        </w:tabs>
        <w:jc w:val="center"/>
        <w:rPr>
          <w:rFonts w:ascii="Comic Sans MS" w:hAnsi="Comic Sans MS"/>
          <w:b/>
          <w:bCs/>
        </w:rPr>
      </w:pP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 xml:space="preserve">Vereadora MDB                                         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  <w:t xml:space="preserve"> </w:t>
      </w:r>
      <w:r w:rsidRPr="003635F2">
        <w:rPr>
          <w:rFonts w:ascii="Comic Sans MS" w:eastAsia="Calibri" w:hAnsi="Comic Sans MS"/>
          <w:kern w:val="2"/>
          <w:sz w:val="22"/>
          <w:szCs w:val="22"/>
          <w:lang w:eastAsia="en-US"/>
          <w14:ligatures w14:val="standardContextual"/>
        </w:rPr>
        <w:tab/>
        <w:t>Vereadora Progressistas</w:t>
      </w:r>
    </w:p>
    <w:sectPr w:rsidR="003F4108" w:rsidRPr="003635F2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/>
      <w:pgMar w:top="651" w:right="1134" w:bottom="726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D9A9" w14:textId="77777777" w:rsidR="00AB3F75" w:rsidRDefault="00AB3F75">
      <w:pPr>
        <w:spacing w:after="0" w:line="240" w:lineRule="auto"/>
      </w:pPr>
      <w:r>
        <w:separator/>
      </w:r>
    </w:p>
  </w:endnote>
  <w:endnote w:type="continuationSeparator" w:id="0">
    <w:p w14:paraId="1697D129" w14:textId="77777777" w:rsidR="00AB3F75" w:rsidRDefault="00A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B13" w14:textId="77777777" w:rsidR="0060749D" w:rsidRDefault="00C22BC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141ABF28" w14:textId="77777777" w:rsidR="0060749D" w:rsidRDefault="0060749D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612420B2" w14:textId="77777777" w:rsidR="0060749D" w:rsidRDefault="00C22BC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42072B39" w14:textId="77777777" w:rsidR="0060749D" w:rsidRDefault="00AB3F75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C22BC5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C22BC5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C22BC5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8120C64" w14:textId="77777777" w:rsidR="0060749D" w:rsidRDefault="0060749D">
    <w:pPr>
      <w:pStyle w:val="Rodap"/>
    </w:pPr>
  </w:p>
  <w:p w14:paraId="57721445" w14:textId="77777777" w:rsidR="0060749D" w:rsidRDefault="006074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F1BF" w14:textId="77777777" w:rsidR="00AB3F75" w:rsidRDefault="00AB3F75">
      <w:pPr>
        <w:spacing w:after="0" w:line="240" w:lineRule="auto"/>
      </w:pPr>
      <w:r>
        <w:separator/>
      </w:r>
    </w:p>
  </w:footnote>
  <w:footnote w:type="continuationSeparator" w:id="0">
    <w:p w14:paraId="2F91100A" w14:textId="77777777" w:rsidR="00AB3F75" w:rsidRDefault="00AB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83AE" w14:textId="77777777" w:rsidR="0060749D" w:rsidRDefault="00C22BC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5BC3B324" wp14:editId="7DBC60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0749D" w14:paraId="3550D18A" w14:textId="77777777">
      <w:trPr>
        <w:trHeight w:val="1538"/>
      </w:trPr>
      <w:tc>
        <w:tcPr>
          <w:tcW w:w="1683" w:type="dxa"/>
          <w:vAlign w:val="center"/>
        </w:tcPr>
        <w:p w14:paraId="24F8C6F0" w14:textId="77777777" w:rsidR="0060749D" w:rsidRDefault="0060749D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noProof/>
              <w:sz w:val="22"/>
              <w:szCs w:val="22"/>
            </w:rPr>
          </w:pPr>
        </w:p>
        <w:p w14:paraId="76F4AB52" w14:textId="77777777" w:rsidR="0060749D" w:rsidRDefault="00C22BC5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3EDB0B9E" wp14:editId="74597035">
                <wp:extent cx="671195" cy="925195"/>
                <wp:effectExtent l="0" t="0" r="14605" b="8255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235D4EBB" w14:textId="77777777" w:rsidR="0060749D" w:rsidRDefault="0060749D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</w:p>
        <w:p w14:paraId="4DA22763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0CDD76E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3CE8854" w14:textId="77777777" w:rsidR="0060749D" w:rsidRDefault="00C22BC5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7883587F" w14:textId="77777777" w:rsidR="0060749D" w:rsidRDefault="00D27BD7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0" allowOverlap="1" wp14:anchorId="263289DB" wp14:editId="7BDF5FE9">
          <wp:simplePos x="0" y="0"/>
          <wp:positionH relativeFrom="margin">
            <wp:align>center</wp:align>
          </wp:positionH>
          <wp:positionV relativeFrom="margin">
            <wp:posOffset>1297940</wp:posOffset>
          </wp:positionV>
          <wp:extent cx="3695700" cy="5144770"/>
          <wp:effectExtent l="0" t="0" r="0" b="0"/>
          <wp:wrapNone/>
          <wp:docPr id="2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514477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A543" w14:textId="77777777" w:rsidR="0060749D" w:rsidRDefault="00C22BC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36F672E" wp14:editId="23D61B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4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F09"/>
    <w:multiLevelType w:val="hybridMultilevel"/>
    <w:tmpl w:val="4CFCADFE"/>
    <w:lvl w:ilvl="0" w:tplc="82DE2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2D91"/>
    <w:multiLevelType w:val="multilevel"/>
    <w:tmpl w:val="8AF8C84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9D"/>
    <w:rsid w:val="0004507B"/>
    <w:rsid w:val="001C201D"/>
    <w:rsid w:val="00222342"/>
    <w:rsid w:val="00305330"/>
    <w:rsid w:val="003400F5"/>
    <w:rsid w:val="003635F2"/>
    <w:rsid w:val="00376365"/>
    <w:rsid w:val="003E71F2"/>
    <w:rsid w:val="003F4108"/>
    <w:rsid w:val="00454CD0"/>
    <w:rsid w:val="004D4B18"/>
    <w:rsid w:val="005A5DB9"/>
    <w:rsid w:val="0060749D"/>
    <w:rsid w:val="00683339"/>
    <w:rsid w:val="006F2B7C"/>
    <w:rsid w:val="00720838"/>
    <w:rsid w:val="007F61DB"/>
    <w:rsid w:val="0094206C"/>
    <w:rsid w:val="009C2AA8"/>
    <w:rsid w:val="00AB3F75"/>
    <w:rsid w:val="00AC4B81"/>
    <w:rsid w:val="00B4166F"/>
    <w:rsid w:val="00B43EFE"/>
    <w:rsid w:val="00C22BC5"/>
    <w:rsid w:val="00C55299"/>
    <w:rsid w:val="00D27BD7"/>
    <w:rsid w:val="00D54B85"/>
    <w:rsid w:val="00D861A4"/>
    <w:rsid w:val="00DC6533"/>
    <w:rsid w:val="00DD2286"/>
    <w:rsid w:val="00F036A4"/>
    <w:rsid w:val="00F54049"/>
    <w:rsid w:val="00F9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BDA93"/>
  <w15:docId w15:val="{1B589BEF-92D6-4E17-998C-90B43E1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1F78DD4-8A48-48E6-A206-A1C84E031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CMV_ADM</cp:lastModifiedBy>
  <cp:revision>2</cp:revision>
  <cp:lastPrinted>2021-03-08T22:36:00Z</cp:lastPrinted>
  <dcterms:created xsi:type="dcterms:W3CDTF">2023-08-22T14:28:00Z</dcterms:created>
  <dcterms:modified xsi:type="dcterms:W3CDTF">2023-08-22T14:28:00Z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