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D171" w14:textId="0CEF287B" w:rsidR="00EF0203" w:rsidRDefault="00E91C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00E065" w14:textId="427E1A2D" w:rsidR="004A1392" w:rsidRDefault="002730D7" w:rsidP="00B52A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apresentação do </w:t>
      </w:r>
      <w:r w:rsidR="004A1392" w:rsidRPr="004A1392">
        <w:rPr>
          <w:rFonts w:ascii="Times New Roman" w:hAnsi="Times New Roman" w:cs="Times New Roman"/>
          <w:b/>
          <w:sz w:val="24"/>
          <w:szCs w:val="24"/>
        </w:rPr>
        <w:t xml:space="preserve">Relatório de </w:t>
      </w:r>
      <w:r w:rsidR="00885FD7">
        <w:rPr>
          <w:rFonts w:ascii="Times New Roman" w:hAnsi="Times New Roman" w:cs="Times New Roman"/>
          <w:b/>
          <w:sz w:val="24"/>
          <w:szCs w:val="24"/>
        </w:rPr>
        <w:t>Avaliação</w:t>
      </w:r>
      <w:r w:rsidR="004A1392" w:rsidRPr="004A1392">
        <w:rPr>
          <w:rFonts w:ascii="Times New Roman" w:hAnsi="Times New Roman" w:cs="Times New Roman"/>
          <w:b/>
          <w:sz w:val="24"/>
          <w:szCs w:val="24"/>
        </w:rPr>
        <w:t xml:space="preserve"> das Metas Fiscais referentes ao 1 º </w:t>
      </w:r>
      <w:r w:rsidR="004A1392" w:rsidRPr="00BF37AD">
        <w:rPr>
          <w:rFonts w:ascii="Times New Roman" w:hAnsi="Times New Roman" w:cs="Times New Roman"/>
          <w:b/>
          <w:sz w:val="24"/>
          <w:szCs w:val="24"/>
        </w:rPr>
        <w:t>quadrimestre de 2022.</w:t>
      </w:r>
    </w:p>
    <w:p w14:paraId="0B8CC5BA" w14:textId="09E05133" w:rsidR="0053535E" w:rsidRDefault="002730D7" w:rsidP="000B69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Aos vinte e </w:t>
      </w:r>
      <w:r w:rsidR="004A1392">
        <w:rPr>
          <w:rFonts w:ascii="Times New Roman" w:hAnsi="Times New Roman" w:cs="Times New Roman"/>
          <w:bCs/>
          <w:sz w:val="24"/>
          <w:szCs w:val="24"/>
        </w:rPr>
        <w:t>seis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dias do mês de </w:t>
      </w:r>
      <w:r w:rsidR="004A1392">
        <w:rPr>
          <w:rFonts w:ascii="Times New Roman" w:hAnsi="Times New Roman" w:cs="Times New Roman"/>
          <w:bCs/>
          <w:sz w:val="24"/>
          <w:szCs w:val="24"/>
        </w:rPr>
        <w:t>maio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80AB6">
        <w:rPr>
          <w:rFonts w:ascii="Times New Roman" w:hAnsi="Times New Roman" w:cs="Times New Roman"/>
          <w:bCs/>
          <w:sz w:val="24"/>
          <w:szCs w:val="24"/>
        </w:rPr>
        <w:t>dois mil e vinte e dois</w:t>
      </w:r>
      <w:r>
        <w:rPr>
          <w:rFonts w:ascii="Times New Roman" w:hAnsi="Times New Roman" w:cs="Times New Roman"/>
          <w:bCs/>
          <w:sz w:val="24"/>
          <w:szCs w:val="24"/>
        </w:rPr>
        <w:t xml:space="preserve">, às </w:t>
      </w:r>
      <w:r w:rsidR="008637A3">
        <w:rPr>
          <w:rFonts w:ascii="Times New Roman" w:hAnsi="Times New Roman" w:cs="Times New Roman"/>
          <w:bCs/>
          <w:sz w:val="24"/>
          <w:szCs w:val="24"/>
        </w:rPr>
        <w:t>nove</w:t>
      </w:r>
      <w:r>
        <w:rPr>
          <w:rFonts w:ascii="Times New Roman" w:hAnsi="Times New Roman" w:cs="Times New Roman"/>
          <w:bCs/>
          <w:sz w:val="24"/>
          <w:szCs w:val="24"/>
        </w:rPr>
        <w:t xml:space="preserve"> horas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706334">
        <w:rPr>
          <w:rFonts w:ascii="Times New Roman" w:hAnsi="Times New Roman" w:cs="Times New Roman"/>
          <w:bCs/>
          <w:sz w:val="24"/>
          <w:szCs w:val="24"/>
        </w:rPr>
        <w:t>oito</w:t>
      </w:r>
      <w:r w:rsidR="00F25CD3">
        <w:rPr>
          <w:rFonts w:ascii="Times New Roman" w:hAnsi="Times New Roman" w:cs="Times New Roman"/>
          <w:bCs/>
          <w:sz w:val="24"/>
          <w:szCs w:val="24"/>
        </w:rPr>
        <w:t xml:space="preserve"> minutos</w:t>
      </w:r>
      <w:r>
        <w:rPr>
          <w:rFonts w:ascii="Times New Roman" w:hAnsi="Times New Roman" w:cs="Times New Roman"/>
          <w:bCs/>
          <w:sz w:val="24"/>
          <w:szCs w:val="24"/>
        </w:rPr>
        <w:t>, reuniram-se em Audiência Pública na Câmara Municipal de Vereadores de Salt</w:t>
      </w:r>
      <w:r w:rsidR="009603B8">
        <w:rPr>
          <w:rFonts w:ascii="Times New Roman" w:hAnsi="Times New Roman" w:cs="Times New Roman"/>
          <w:bCs/>
          <w:sz w:val="24"/>
          <w:szCs w:val="24"/>
        </w:rPr>
        <w:t>o do Jacuí, sob a presidência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="009603B8">
        <w:rPr>
          <w:rFonts w:ascii="Times New Roman" w:hAnsi="Times New Roman" w:cs="Times New Roman"/>
          <w:bCs/>
          <w:sz w:val="24"/>
          <w:szCs w:val="24"/>
        </w:rPr>
        <w:t>Sandro Drum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34">
        <w:rPr>
          <w:rFonts w:ascii="Times New Roman" w:hAnsi="Times New Roman" w:cs="Times New Roman"/>
          <w:bCs/>
          <w:sz w:val="24"/>
          <w:szCs w:val="24"/>
        </w:rPr>
        <w:t>a</w:t>
      </w:r>
      <w:r w:rsidR="00C9683A">
        <w:rPr>
          <w:rFonts w:ascii="Times New Roman" w:hAnsi="Times New Roman" w:cs="Times New Roman"/>
          <w:bCs/>
          <w:sz w:val="24"/>
          <w:szCs w:val="24"/>
        </w:rPr>
        <w:t>s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706334">
        <w:rPr>
          <w:rFonts w:ascii="Times New Roman" w:hAnsi="Times New Roman" w:cs="Times New Roman"/>
          <w:bCs/>
          <w:sz w:val="24"/>
          <w:szCs w:val="24"/>
        </w:rPr>
        <w:t>a</w:t>
      </w:r>
      <w:r w:rsidR="00C9683A">
        <w:rPr>
          <w:rFonts w:ascii="Times New Roman" w:hAnsi="Times New Roman" w:cs="Times New Roman"/>
          <w:bCs/>
          <w:sz w:val="24"/>
          <w:szCs w:val="24"/>
        </w:rPr>
        <w:t>s</w:t>
      </w:r>
      <w:r w:rsidR="00706334">
        <w:rPr>
          <w:rFonts w:ascii="Times New Roman" w:hAnsi="Times New Roman" w:cs="Times New Roman"/>
          <w:bCs/>
          <w:sz w:val="24"/>
          <w:szCs w:val="24"/>
        </w:rPr>
        <w:t xml:space="preserve"> Priscila Tramontini Spacil</w:t>
      </w:r>
      <w:r w:rsidR="00C9683A">
        <w:rPr>
          <w:rFonts w:ascii="Times New Roman" w:hAnsi="Times New Roman" w:cs="Times New Roman"/>
          <w:bCs/>
          <w:sz w:val="24"/>
          <w:szCs w:val="24"/>
        </w:rPr>
        <w:t>, Cleres Maria Cavalheiro Revelante, bem como sua assessora Gabriela Palhano</w:t>
      </w:r>
      <w:r w:rsidR="003D771E">
        <w:rPr>
          <w:rFonts w:ascii="Times New Roman" w:hAnsi="Times New Roman" w:cs="Times New Roman"/>
          <w:bCs/>
          <w:sz w:val="24"/>
          <w:szCs w:val="24"/>
        </w:rPr>
        <w:t>, Cassi</w:t>
      </w:r>
      <w:r w:rsidR="00706334">
        <w:rPr>
          <w:rFonts w:ascii="Times New Roman" w:hAnsi="Times New Roman" w:cs="Times New Roman"/>
          <w:bCs/>
          <w:sz w:val="24"/>
          <w:szCs w:val="24"/>
        </w:rPr>
        <w:t>a</w:t>
      </w:r>
      <w:r w:rsidR="003D771E">
        <w:rPr>
          <w:rFonts w:ascii="Times New Roman" w:hAnsi="Times New Roman" w:cs="Times New Roman"/>
          <w:bCs/>
          <w:sz w:val="24"/>
          <w:szCs w:val="24"/>
        </w:rPr>
        <w:t>na Calegaro</w:t>
      </w:r>
      <w:r w:rsidR="00706334">
        <w:rPr>
          <w:rFonts w:ascii="Times New Roman" w:hAnsi="Times New Roman" w:cs="Times New Roman"/>
          <w:bCs/>
          <w:sz w:val="24"/>
          <w:szCs w:val="24"/>
        </w:rPr>
        <w:t xml:space="preserve"> Secretária da Fazenda</w:t>
      </w:r>
      <w:r w:rsidR="003D771E">
        <w:rPr>
          <w:rFonts w:ascii="Times New Roman" w:hAnsi="Times New Roman" w:cs="Times New Roman"/>
          <w:bCs/>
          <w:sz w:val="24"/>
          <w:szCs w:val="24"/>
        </w:rPr>
        <w:t>,</w:t>
      </w:r>
      <w:r w:rsidR="00706334">
        <w:rPr>
          <w:rFonts w:ascii="Times New Roman" w:hAnsi="Times New Roman" w:cs="Times New Roman"/>
          <w:bCs/>
          <w:sz w:val="24"/>
          <w:szCs w:val="24"/>
        </w:rPr>
        <w:t xml:space="preserve"> Leila Franciele Merg contadora da Câmara Municipal</w:t>
      </w:r>
      <w:r w:rsidR="003D77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4AF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a Assessora Contábil</w:t>
      </w:r>
      <w:r w:rsidR="003732FE">
        <w:rPr>
          <w:rFonts w:ascii="Times New Roman" w:hAnsi="Times New Roman" w:cs="Times New Roman"/>
          <w:bCs/>
          <w:sz w:val="24"/>
          <w:szCs w:val="24"/>
        </w:rPr>
        <w:t xml:space="preserve"> da Prefeitura</w:t>
      </w:r>
      <w:r>
        <w:rPr>
          <w:rFonts w:ascii="Times New Roman" w:hAnsi="Times New Roman" w:cs="Times New Roman"/>
          <w:bCs/>
          <w:sz w:val="24"/>
          <w:szCs w:val="24"/>
        </w:rPr>
        <w:t xml:space="preserve"> Marijara Petter Guimarãe</w:t>
      </w:r>
      <w:r w:rsidR="007C40B4">
        <w:rPr>
          <w:rFonts w:ascii="Times New Roman" w:hAnsi="Times New Roman" w:cs="Times New Roman"/>
          <w:bCs/>
          <w:sz w:val="24"/>
          <w:szCs w:val="24"/>
        </w:rPr>
        <w:t>s e Silva</w:t>
      </w:r>
      <w:r>
        <w:rPr>
          <w:rFonts w:ascii="Times New Roman" w:hAnsi="Times New Roman" w:cs="Times New Roman"/>
          <w:bCs/>
          <w:sz w:val="24"/>
          <w:szCs w:val="24"/>
        </w:rPr>
        <w:t xml:space="preserve">, bem como servidores da Câmara Municipal, para a apresentação do Relatório de </w:t>
      </w:r>
      <w:r w:rsidR="004A1392">
        <w:rPr>
          <w:rFonts w:ascii="Times New Roman" w:hAnsi="Times New Roman" w:cs="Times New Roman"/>
          <w:bCs/>
          <w:sz w:val="24"/>
          <w:szCs w:val="24"/>
        </w:rPr>
        <w:t>Cumprimento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das Metas Fiscais referentes ao</w:t>
      </w:r>
      <w:r w:rsidR="004A1392">
        <w:rPr>
          <w:rFonts w:ascii="Times New Roman" w:hAnsi="Times New Roman" w:cs="Times New Roman"/>
          <w:bCs/>
          <w:sz w:val="24"/>
          <w:szCs w:val="24"/>
        </w:rPr>
        <w:t xml:space="preserve"> 1° quadrimestre de 2022.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D12">
        <w:rPr>
          <w:rFonts w:ascii="Times New Roman" w:hAnsi="Times New Roman" w:cs="Times New Roman"/>
          <w:bCs/>
          <w:sz w:val="24"/>
          <w:szCs w:val="24"/>
        </w:rPr>
        <w:t>O presidente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declarou aberta a 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Audiência Pública e solicitou à assessora contábil Marijara Petter </w:t>
      </w:r>
      <w:r w:rsidR="004D0D12">
        <w:rPr>
          <w:rFonts w:ascii="Times New Roman" w:hAnsi="Times New Roman" w:cs="Times New Roman"/>
          <w:bCs/>
          <w:sz w:val="24"/>
          <w:szCs w:val="24"/>
        </w:rPr>
        <w:t xml:space="preserve">Guimarães </w:t>
      </w:r>
      <w:r>
        <w:rPr>
          <w:rFonts w:ascii="Times New Roman" w:hAnsi="Times New Roman" w:cs="Times New Roman"/>
          <w:bCs/>
          <w:sz w:val="24"/>
          <w:szCs w:val="24"/>
        </w:rPr>
        <w:t>que apresentasse o Relatório, a qual destacou que a audiência pública ocorre em cumprimento ao estabelecido no § 4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do art. 9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da Lei de Responsabilidade Fiscal, o qual determina que o Poder Executivo demonstrará e avaliará o cumprimento das metas fiscais do orçamento fiscal e de seguridade social ao fi</w:t>
      </w:r>
      <w:r w:rsidR="00245DFB">
        <w:rPr>
          <w:rFonts w:ascii="Times New Roman" w:hAnsi="Times New Roman" w:cs="Times New Roman"/>
          <w:bCs/>
          <w:sz w:val="24"/>
          <w:szCs w:val="24"/>
        </w:rPr>
        <w:t>nal de cada quadrimestre. Marijara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destacou que os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números são originários dos relatórios resumidos da execução o</w:t>
      </w:r>
      <w:r w:rsidR="00245DFB">
        <w:rPr>
          <w:rFonts w:ascii="Times New Roman" w:hAnsi="Times New Roman" w:cs="Times New Roman"/>
          <w:bCs/>
          <w:sz w:val="24"/>
          <w:szCs w:val="24"/>
        </w:rPr>
        <w:t>rçamentária do exercício de 202</w:t>
      </w:r>
      <w:r w:rsidR="00885FD7">
        <w:rPr>
          <w:rFonts w:ascii="Times New Roman" w:hAnsi="Times New Roman" w:cs="Times New Roman"/>
          <w:bCs/>
          <w:sz w:val="24"/>
          <w:szCs w:val="24"/>
        </w:rPr>
        <w:t>2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, e, para melhores esclarecimentos, os resultados serão apresentados com detalhamento das informações e acompanhados dos principais aspectos que condicionaram o desempenho da receita e da despesa.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falou da Receita, onde,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segundo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o Balanço Orçamentário da Receita, o total previsto foi estimado na Lei de Or</w:t>
      </w:r>
      <w:r w:rsidR="00245DFB">
        <w:rPr>
          <w:rFonts w:ascii="Times New Roman" w:hAnsi="Times New Roman" w:cs="Times New Roman"/>
          <w:bCs/>
          <w:sz w:val="24"/>
          <w:szCs w:val="24"/>
        </w:rPr>
        <w:t>çamento para o exercício de 202</w:t>
      </w:r>
      <w:r w:rsidR="0063653F">
        <w:rPr>
          <w:rFonts w:ascii="Times New Roman" w:hAnsi="Times New Roman" w:cs="Times New Roman"/>
          <w:bCs/>
          <w:sz w:val="24"/>
          <w:szCs w:val="24"/>
        </w:rPr>
        <w:t>2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 no montante de R$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66.391.468,00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. A receita efetivada no perío</w:t>
      </w:r>
      <w:r w:rsidR="00245DFB">
        <w:rPr>
          <w:rFonts w:ascii="Times New Roman" w:hAnsi="Times New Roman" w:cs="Times New Roman"/>
          <w:bCs/>
          <w:sz w:val="24"/>
          <w:szCs w:val="24"/>
        </w:rPr>
        <w:t>do de Janeiro a</w:t>
      </w:r>
      <w:r w:rsidR="0063653F">
        <w:rPr>
          <w:rFonts w:ascii="Times New Roman" w:hAnsi="Times New Roman" w:cs="Times New Roman"/>
          <w:bCs/>
          <w:sz w:val="24"/>
          <w:szCs w:val="24"/>
        </w:rPr>
        <w:t xml:space="preserve"> Abril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 foi de R$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23.824.219,21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, tendo sido arrecadado, portanto,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35,88%</w:t>
      </w:r>
      <w:r w:rsidR="00636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da meta anual.</w:t>
      </w:r>
      <w:r w:rsidR="007C40B4" w:rsidRPr="007C40B4">
        <w:t xml:space="preserve"> </w:t>
      </w:r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apresentou o quadro demonstrativo da Receita Prevista e Realizada.</w:t>
      </w:r>
      <w:r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total das Receitas Correntes previsto para o período considerado (Janeiro a </w:t>
      </w:r>
      <w:r w:rsidR="0063653F">
        <w:rPr>
          <w:rFonts w:ascii="Times New Roman" w:hAnsi="Times New Roman" w:cs="Times New Roman"/>
          <w:bCs/>
          <w:sz w:val="24"/>
          <w:szCs w:val="24"/>
        </w:rPr>
        <w:t>Abril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), de acordo com a programação financeira, foi de R$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20.821.299,08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. Os valores realizados corresponderam a R$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24.294.441,55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, superando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16,68%</w:t>
      </w:r>
      <w:r w:rsidR="00245DFB" w:rsidRPr="00245D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da meta estabelecida. Nesse grupo, as receitas mais significativas são: Transferências Correntes e Receita Tributária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33F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Receita Tributária atingiu até o final do 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exercício em análise o montante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de R$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3.333.244,62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, que, confrontada com a previsão constante na programação financeira de R$ 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1.953.173,62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, representa uma realização de </w:t>
      </w:r>
      <w:r w:rsidR="00A10D6B" w:rsidRPr="00A10D6B">
        <w:rPr>
          <w:rFonts w:ascii="Times New Roman" w:hAnsi="Times New Roman" w:cs="Times New Roman"/>
          <w:bCs/>
          <w:sz w:val="24"/>
          <w:szCs w:val="24"/>
        </w:rPr>
        <w:t>170,66%</w:t>
      </w:r>
      <w:r w:rsidR="00A10D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>do valor estimado para o ano.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apresentou o quadro das Receitas 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Correntes </w:t>
      </w:r>
      <w:r>
        <w:rPr>
          <w:rFonts w:ascii="Times New Roman" w:hAnsi="Times New Roman" w:cs="Times New Roman"/>
          <w:bCs/>
          <w:sz w:val="24"/>
          <w:szCs w:val="24"/>
        </w:rPr>
        <w:t xml:space="preserve">Tributárias Previstas e Realizadas, destacando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5429B">
        <w:rPr>
          <w:rFonts w:ascii="Times New Roman" w:hAnsi="Times New Roman" w:cs="Times New Roman"/>
          <w:bCs/>
          <w:sz w:val="24"/>
          <w:szCs w:val="24"/>
        </w:rPr>
        <w:t>IPTU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 arrecadou </w:t>
      </w:r>
      <w:r w:rsidR="00A10D6B" w:rsidRPr="00A10D6B">
        <w:rPr>
          <w:rFonts w:ascii="Times New Roman" w:hAnsi="Times New Roman" w:cs="Times New Roman"/>
          <w:bCs/>
          <w:sz w:val="24"/>
          <w:szCs w:val="24"/>
        </w:rPr>
        <w:t>95,97%</w:t>
      </w:r>
      <w:r w:rsidR="00A10D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da previsão anual, ou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seja, o ingresso previsto para o ano foi de R$ </w:t>
      </w:r>
      <w:r w:rsidR="00A10D6B" w:rsidRPr="00A10D6B">
        <w:rPr>
          <w:rFonts w:ascii="Times New Roman" w:hAnsi="Times New Roman" w:cs="Times New Roman"/>
          <w:bCs/>
          <w:sz w:val="24"/>
          <w:szCs w:val="24"/>
        </w:rPr>
        <w:t>2.332.783,15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tendo sido arrecadados R$ </w:t>
      </w:r>
      <w:r w:rsidR="00A10D6B" w:rsidRPr="00A10D6B">
        <w:rPr>
          <w:rFonts w:ascii="Times New Roman" w:hAnsi="Times New Roman" w:cs="Times New Roman"/>
          <w:bCs/>
          <w:sz w:val="24"/>
          <w:szCs w:val="24"/>
        </w:rPr>
        <w:t>2.238.876,61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relação ao IRRF, a arrecadação no período foi de R$ </w:t>
      </w:r>
      <w:r w:rsidR="00A10D6B" w:rsidRPr="00A10D6B">
        <w:rPr>
          <w:rFonts w:ascii="Times New Roman" w:hAnsi="Times New Roman" w:cs="Times New Roman"/>
          <w:bCs/>
          <w:sz w:val="24"/>
          <w:szCs w:val="24"/>
        </w:rPr>
        <w:t>508.651,16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o que representa </w:t>
      </w:r>
      <w:r w:rsidR="00A10D6B" w:rsidRPr="00A10D6B">
        <w:rPr>
          <w:rFonts w:ascii="Times New Roman" w:hAnsi="Times New Roman" w:cs="Times New Roman"/>
          <w:bCs/>
          <w:sz w:val="24"/>
          <w:szCs w:val="24"/>
        </w:rPr>
        <w:t>37,99%</w:t>
      </w:r>
      <w:r w:rsidR="00A10D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do orçado para o exercício.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Imposto sobre Transmissão de Bens Imóveis - ITBI - para o qual foram projetados R$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476.556,00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acumulou-se uma arrecadação de R$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46.438,86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27,47%</w:t>
      </w:r>
      <w:r w:rsidR="00FE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29B">
        <w:rPr>
          <w:rFonts w:ascii="Times New Roman" w:hAnsi="Times New Roman" w:cs="Times New Roman"/>
          <w:bCs/>
          <w:sz w:val="24"/>
          <w:szCs w:val="24"/>
        </w:rPr>
        <w:t>do valor estabelecido para 202</w:t>
      </w:r>
      <w:r w:rsidR="00FE4DBB">
        <w:rPr>
          <w:rFonts w:ascii="Times New Roman" w:hAnsi="Times New Roman" w:cs="Times New Roman"/>
          <w:bCs/>
          <w:sz w:val="24"/>
          <w:szCs w:val="24"/>
        </w:rPr>
        <w:t>2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.</w:t>
      </w:r>
      <w:r w:rsidR="009721E2" w:rsidRPr="009721E2"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relação ao ISSQN, a arrecadação no período foi de R$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333.995,58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o que representa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27,47%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do orçado para o exercício.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Por fim, quanto às Receitas Correntes Tributárias, as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taxas apresentaram o ingresso de R$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205.282,41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contra uma projeção de R$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523.792,72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. Arrecadou-se, portanto,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39,19%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da meta anual.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Receita </w:t>
      </w:r>
      <w:r w:rsidR="009721E2">
        <w:rPr>
          <w:rFonts w:ascii="Times New Roman" w:hAnsi="Times New Roman" w:cs="Times New Roman"/>
          <w:bCs/>
          <w:sz w:val="24"/>
          <w:szCs w:val="24"/>
        </w:rPr>
        <w:t>Corrente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Contribuições, verifica-se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as Receitas de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Contribuições acumularam no ano, de Janeiro a Dezembro, o valor de R$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585.553,86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correspondendo a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27,76%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da previsão anual.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29B">
        <w:rPr>
          <w:rFonts w:ascii="Times New Roman" w:hAnsi="Times New Roman" w:cs="Times New Roman"/>
          <w:bCs/>
          <w:sz w:val="24"/>
          <w:szCs w:val="24"/>
        </w:rPr>
        <w:t>Marijara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destacou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no grupo das Transferências Correntes da União, o item mais significativo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refere-se às transferências constitucionais do Fundo de Participação dos Municípios – FPM –, que realizou R$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5.868.600,66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no período, correspondendo a </w:t>
      </w:r>
      <w:r w:rsidR="00FE4DBB" w:rsidRPr="00FE4DBB">
        <w:rPr>
          <w:rFonts w:ascii="Times New Roman" w:hAnsi="Times New Roman" w:cs="Times New Roman"/>
          <w:bCs/>
          <w:sz w:val="24"/>
          <w:szCs w:val="24"/>
        </w:rPr>
        <w:t>35,64%</w:t>
      </w:r>
      <w:r w:rsidR="00FE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da projeção anual. A estimativa dessa receita considerou as informações fornecidas pela Coordenadoria de Programação Financeira da Secretaria do Tesouro Nacional – STN –, a qu</w:t>
      </w:r>
      <w:r w:rsidR="00D5429B">
        <w:rPr>
          <w:rFonts w:ascii="Times New Roman" w:hAnsi="Times New Roman" w:cs="Times New Roman"/>
          <w:bCs/>
          <w:sz w:val="24"/>
          <w:szCs w:val="24"/>
        </w:rPr>
        <w:t>al estimou uma variação positiva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 referente às transferências aos Estados e Municípios.</w:t>
      </w:r>
      <w:r w:rsid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No quadro Receitas Correntes </w:t>
      </w:r>
      <w:r w:rsidR="001C43BE">
        <w:rPr>
          <w:rFonts w:ascii="Times New Roman" w:hAnsi="Times New Roman" w:cs="Times New Roman"/>
          <w:bCs/>
          <w:sz w:val="24"/>
          <w:szCs w:val="24"/>
        </w:rPr>
        <w:t>Transferências do Estado, Marijara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 enfatizou que nas t</w:t>
      </w:r>
      <w:r w:rsidR="00AD3F22">
        <w:rPr>
          <w:rFonts w:ascii="Times New Roman" w:hAnsi="Times New Roman" w:cs="Times New Roman"/>
          <w:bCs/>
          <w:sz w:val="24"/>
          <w:szCs w:val="24"/>
        </w:rPr>
        <w:t xml:space="preserve">ransferências do Estado, deve 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ser destacada a participação do Município no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>ICMS, cujos valores transferidos ao Município, no período em an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álise, foram de R$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5.532.804,70</w:t>
      </w:r>
      <w:r w:rsidR="00845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 xml:space="preserve">Correspondendo a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30,39%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 xml:space="preserve">da expectativa anual, que é de R$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18.203.206,00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>.</w:t>
      </w:r>
      <w:r w:rsidR="002F2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No item receitas correntes transferências do estado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fundo estadual de saúde </w:t>
      </w:r>
      <w:r w:rsidR="001C43BE">
        <w:rPr>
          <w:rFonts w:ascii="Times New Roman" w:hAnsi="Times New Roman" w:cs="Times New Roman"/>
          <w:bCs/>
          <w:sz w:val="24"/>
          <w:szCs w:val="24"/>
        </w:rPr>
        <w:t>foi destacado o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s valores transf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eridos ao Município, no período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em anál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ise,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>f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oram de R$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624.171,51</w:t>
      </w:r>
      <w:r w:rsidR="003732FE">
        <w:rPr>
          <w:rFonts w:ascii="Times New Roman" w:hAnsi="Times New Roman" w:cs="Times New Roman"/>
          <w:bCs/>
          <w:sz w:val="24"/>
          <w:szCs w:val="24"/>
        </w:rPr>
        <w:t>,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 o que 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representa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39,01 %</w:t>
      </w:r>
      <w:r w:rsidR="00845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3BE">
        <w:rPr>
          <w:rFonts w:ascii="Times New Roman" w:hAnsi="Times New Roman" w:cs="Times New Roman"/>
          <w:bCs/>
          <w:sz w:val="24"/>
          <w:szCs w:val="24"/>
        </w:rPr>
        <w:t>do orçado para o exercício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Quanto às Receitas de Capital </w:t>
      </w:r>
      <w:r w:rsidR="00B52A5D">
        <w:rPr>
          <w:rFonts w:ascii="Times New Roman" w:hAnsi="Times New Roman" w:cs="Times New Roman"/>
          <w:bCs/>
          <w:sz w:val="24"/>
          <w:szCs w:val="24"/>
        </w:rPr>
        <w:t>Transferências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 de Capital</w:t>
      </w:r>
      <w:r w:rsidR="00B52A5D">
        <w:rPr>
          <w:rFonts w:ascii="Times New Roman" w:hAnsi="Times New Roman" w:cs="Times New Roman"/>
          <w:bCs/>
          <w:sz w:val="24"/>
          <w:szCs w:val="24"/>
        </w:rPr>
        <w:t>, n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as Transferências d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e capital, que totalizaram R$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192.813,72</w:t>
      </w:r>
      <w:r w:rsidR="00B52A5D">
        <w:rPr>
          <w:rFonts w:ascii="Times New Roman" w:hAnsi="Times New Roman" w:cs="Times New Roman"/>
          <w:bCs/>
          <w:sz w:val="24"/>
          <w:szCs w:val="24"/>
        </w:rPr>
        <w:t>,</w:t>
      </w:r>
      <w:r w:rsidR="00845DB6">
        <w:rPr>
          <w:rFonts w:ascii="Times New Roman" w:hAnsi="Times New Roman" w:cs="Times New Roman"/>
          <w:bCs/>
          <w:sz w:val="24"/>
          <w:szCs w:val="24"/>
        </w:rPr>
        <w:t xml:space="preserve"> alcançaram 17,78% do projetado, </w:t>
      </w:r>
      <w:r w:rsidR="00E0318C">
        <w:rPr>
          <w:rFonts w:ascii="Times New Roman" w:hAnsi="Times New Roman" w:cs="Times New Roman"/>
          <w:bCs/>
          <w:sz w:val="24"/>
          <w:szCs w:val="24"/>
        </w:rPr>
        <w:t>o</w:t>
      </w:r>
      <w:r w:rsidR="0061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Município recebeu três emendas parlamentares:</w:t>
      </w:r>
      <w:r w:rsidR="0061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investimentos para o hospital municipal no valor de</w:t>
      </w:r>
      <w:r w:rsidR="0061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R$ 50.000,00 cada e R$ 70.000,00 para</w:t>
      </w:r>
      <w:r w:rsidR="0061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aquisição</w:t>
      </w:r>
      <w:r w:rsidR="0061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DB6" w:rsidRPr="00845DB6">
        <w:rPr>
          <w:rFonts w:ascii="Times New Roman" w:hAnsi="Times New Roman" w:cs="Times New Roman"/>
          <w:bCs/>
          <w:sz w:val="24"/>
          <w:szCs w:val="24"/>
        </w:rPr>
        <w:t>de veículo para saúde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.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No quadro Despesas, Marijara</w:t>
      </w:r>
      <w:r>
        <w:rPr>
          <w:rFonts w:ascii="Times New Roman" w:hAnsi="Times New Roman" w:cs="Times New Roman"/>
          <w:bCs/>
          <w:sz w:val="24"/>
          <w:szCs w:val="24"/>
        </w:rPr>
        <w:t xml:space="preserve"> destaca que </w:t>
      </w:r>
      <w:r w:rsidR="004B6FE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4B6FEB">
        <w:rPr>
          <w:rFonts w:ascii="Times New Roman" w:hAnsi="Times New Roman" w:cs="Times New Roman"/>
          <w:bCs/>
          <w:sz w:val="24"/>
          <w:szCs w:val="24"/>
        </w:rPr>
        <w:t xml:space="preserve">Despesas Liquidadas, juntamente com as </w:t>
      </w:r>
      <w:r>
        <w:rPr>
          <w:rFonts w:ascii="Times New Roman" w:hAnsi="Times New Roman" w:cs="Times New Roman"/>
          <w:bCs/>
          <w:sz w:val="24"/>
          <w:szCs w:val="24"/>
        </w:rPr>
        <w:t xml:space="preserve">transferências patronais para o </w:t>
      </w:r>
      <w:r w:rsidR="004B6FEB">
        <w:rPr>
          <w:rFonts w:ascii="Times New Roman" w:hAnsi="Times New Roman" w:cs="Times New Roman"/>
          <w:bCs/>
          <w:sz w:val="24"/>
          <w:szCs w:val="24"/>
        </w:rPr>
        <w:t xml:space="preserve">RPPS,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no acumulado de Janeiro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612C26">
        <w:rPr>
          <w:rFonts w:ascii="Times New Roman" w:hAnsi="Times New Roman" w:cs="Times New Roman"/>
          <w:bCs/>
          <w:sz w:val="24"/>
          <w:szCs w:val="24"/>
        </w:rPr>
        <w:t>Abril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612C26">
        <w:rPr>
          <w:rFonts w:ascii="Times New Roman" w:hAnsi="Times New Roman" w:cs="Times New Roman"/>
          <w:bCs/>
          <w:sz w:val="24"/>
          <w:szCs w:val="24"/>
        </w:rPr>
        <w:t>2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 totalizaram R$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17.509.857,39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valor equivalente a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78,58%</w:t>
      </w:r>
      <w:r w:rsidR="0061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da previsão para o período. O total das despesas correntes realizadas foi de R$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16.601.874,91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correspondendo a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91,98%</w:t>
      </w:r>
      <w:r w:rsidR="0061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da projeção. As despesas de capital totalizaram R$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907.982,48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inferiores ao valor projetado para o período, de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2.818.821,89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.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Resultado Orçamentário, </w:t>
      </w:r>
      <w:r w:rsidR="004B6FEB">
        <w:rPr>
          <w:rFonts w:ascii="Times New Roman" w:hAnsi="Times New Roman" w:cs="Times New Roman"/>
          <w:bCs/>
          <w:sz w:val="24"/>
          <w:szCs w:val="24"/>
        </w:rPr>
        <w:t>c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onsiderando todas as fontes de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recur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sos, a Despesa Total liquidada, </w:t>
      </w:r>
      <w:r w:rsidR="00EA33FE">
        <w:rPr>
          <w:rFonts w:ascii="Times New Roman" w:hAnsi="Times New Roman" w:cs="Times New Roman"/>
          <w:bCs/>
          <w:sz w:val="24"/>
          <w:szCs w:val="24"/>
        </w:rPr>
        <w:t xml:space="preserve">nela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incluída a transferência da cota patronal para o RPPS, no período de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Janeiro a </w:t>
      </w:r>
      <w:r w:rsidR="00612C26">
        <w:rPr>
          <w:rFonts w:ascii="Times New Roman" w:hAnsi="Times New Roman" w:cs="Times New Roman"/>
          <w:bCs/>
          <w:sz w:val="24"/>
          <w:szCs w:val="24"/>
        </w:rPr>
        <w:t>Abril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612C26">
        <w:rPr>
          <w:rFonts w:ascii="Times New Roman" w:hAnsi="Times New Roman" w:cs="Times New Roman"/>
          <w:bCs/>
          <w:sz w:val="24"/>
          <w:szCs w:val="24"/>
        </w:rPr>
        <w:t>2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apresentou uma execução inferior à Receita Total realizada. Em valores acumulados, a correlação despesa total/receita total foi de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6.314.361,82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, demonstrando um superávit de R$</w:t>
      </w:r>
      <w:r w:rsidR="00B52A5D" w:rsidRPr="00B52A5D">
        <w:t xml:space="preserve"> </w:t>
      </w:r>
      <w:r w:rsidR="00612C26" w:rsidRPr="00612C26">
        <w:rPr>
          <w:rFonts w:ascii="Times New Roman" w:hAnsi="Times New Roman" w:cs="Times New Roman"/>
          <w:bCs/>
          <w:sz w:val="24"/>
          <w:szCs w:val="24"/>
        </w:rPr>
        <w:t>6.314.361,82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.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Considerando os valores repassados ao Poder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Legislativo referente aos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duodécimos no período de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janeiro a abril de 2022, totalizaram no valor de R$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1.036.558,77. Desta forma, o valor considerado para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o superavit financeiro será de R$ 5.277.803,05.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Esse resultado permite confirmar o atingimento das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metas fiscais para o exercício.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A5D">
        <w:rPr>
          <w:rFonts w:ascii="Times New Roman" w:hAnsi="Times New Roman" w:cs="Times New Roman"/>
          <w:bCs/>
          <w:sz w:val="24"/>
          <w:szCs w:val="24"/>
        </w:rPr>
        <w:t>Por fim, a Assessora Contábil</w:t>
      </w:r>
      <w:r>
        <w:rPr>
          <w:rFonts w:ascii="Times New Roman" w:hAnsi="Times New Roman" w:cs="Times New Roman"/>
          <w:bCs/>
          <w:sz w:val="24"/>
          <w:szCs w:val="24"/>
        </w:rPr>
        <w:t xml:space="preserve"> da Prefeitura Municipal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destacou que</w:t>
      </w:r>
      <w:r>
        <w:t xml:space="preserve"> 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os resultados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apresentados permitem concluir que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50E" w:rsidRPr="00B05275">
        <w:rPr>
          <w:rFonts w:ascii="Times New Roman" w:hAnsi="Times New Roman" w:cs="Times New Roman"/>
          <w:bCs/>
          <w:sz w:val="24"/>
          <w:szCs w:val="24"/>
        </w:rPr>
        <w:t>as metas</w:t>
      </w:r>
      <w:r w:rsidR="004F7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18C" w:rsidRPr="00B05275">
        <w:rPr>
          <w:rFonts w:ascii="Times New Roman" w:hAnsi="Times New Roman" w:cs="Times New Roman"/>
          <w:bCs/>
          <w:sz w:val="24"/>
          <w:szCs w:val="24"/>
        </w:rPr>
        <w:t>de arrecadação e o limite de gastos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 xml:space="preserve"> estabelecidos na programação financeira foram at</w:t>
      </w:r>
      <w:r w:rsidR="002F250B">
        <w:rPr>
          <w:rFonts w:ascii="Times New Roman" w:hAnsi="Times New Roman" w:cs="Times New Roman"/>
          <w:bCs/>
          <w:sz w:val="24"/>
          <w:szCs w:val="24"/>
        </w:rPr>
        <w:t xml:space="preserve">endidos, evidenciando, assim,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 xml:space="preserve">a desnecessidade de ajustes na execução orçamentária para fins de atingimento das metas fiscais de resultado primário e resultado nominal estabelecidos, </w:t>
      </w:r>
      <w:r w:rsidR="00E0318C" w:rsidRPr="00B05275">
        <w:rPr>
          <w:rFonts w:ascii="Times New Roman" w:hAnsi="Times New Roman" w:cs="Times New Roman"/>
          <w:bCs/>
          <w:sz w:val="24"/>
          <w:szCs w:val="24"/>
        </w:rPr>
        <w:t>bem como para o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 xml:space="preserve"> atendimento dos requisitos da Lei de Responsabilidade Fiscal.</w:t>
      </w:r>
      <w:r>
        <w:rPr>
          <w:rFonts w:ascii="Times New Roman" w:hAnsi="Times New Roman" w:cs="Times New Roman"/>
          <w:bCs/>
          <w:sz w:val="24"/>
          <w:szCs w:val="24"/>
        </w:rPr>
        <w:t xml:space="preserve"> Após a leitura do relatório, </w:t>
      </w:r>
      <w:r w:rsidR="009603B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presidente</w:t>
      </w:r>
      <w:r w:rsidR="009603B8">
        <w:rPr>
          <w:rFonts w:ascii="Times New Roman" w:hAnsi="Times New Roman" w:cs="Times New Roman"/>
          <w:bCs/>
          <w:sz w:val="24"/>
          <w:szCs w:val="24"/>
        </w:rPr>
        <w:t xml:space="preserve"> Sandro Drum</w:t>
      </w:r>
      <w:r>
        <w:rPr>
          <w:rFonts w:ascii="Times New Roman" w:hAnsi="Times New Roman" w:cs="Times New Roman"/>
          <w:bCs/>
          <w:sz w:val="24"/>
          <w:szCs w:val="24"/>
        </w:rPr>
        <w:t xml:space="preserve"> abriu espaço aos presentes para manifestações. Nada mais h</w:t>
      </w:r>
      <w:r w:rsidR="003732FE">
        <w:rPr>
          <w:rFonts w:ascii="Times New Roman" w:hAnsi="Times New Roman" w:cs="Times New Roman"/>
          <w:bCs/>
          <w:sz w:val="24"/>
          <w:szCs w:val="24"/>
        </w:rPr>
        <w:t xml:space="preserve">avendo a se </w:t>
      </w:r>
      <w:r w:rsidR="002A54AF">
        <w:rPr>
          <w:rFonts w:ascii="Times New Roman" w:hAnsi="Times New Roman" w:cs="Times New Roman"/>
          <w:bCs/>
          <w:sz w:val="24"/>
          <w:szCs w:val="24"/>
        </w:rPr>
        <w:t xml:space="preserve">tratar, às </w:t>
      </w:r>
      <w:r w:rsidR="00C9683A">
        <w:rPr>
          <w:rFonts w:ascii="Times New Roman" w:hAnsi="Times New Roman" w:cs="Times New Roman"/>
          <w:bCs/>
          <w:sz w:val="24"/>
          <w:szCs w:val="24"/>
        </w:rPr>
        <w:t xml:space="preserve">nove </w:t>
      </w:r>
      <w:r w:rsidR="002A54AF">
        <w:rPr>
          <w:rFonts w:ascii="Times New Roman" w:hAnsi="Times New Roman" w:cs="Times New Roman"/>
          <w:bCs/>
          <w:sz w:val="24"/>
          <w:szCs w:val="24"/>
        </w:rPr>
        <w:t xml:space="preserve">horas e </w:t>
      </w:r>
      <w:r w:rsidR="00C9683A">
        <w:rPr>
          <w:rFonts w:ascii="Times New Roman" w:hAnsi="Times New Roman" w:cs="Times New Roman"/>
          <w:bCs/>
          <w:sz w:val="24"/>
          <w:szCs w:val="24"/>
        </w:rPr>
        <w:t>vinte</w:t>
      </w:r>
      <w:r w:rsidR="008F02D4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B010F0">
        <w:rPr>
          <w:rFonts w:ascii="Times New Roman" w:hAnsi="Times New Roman" w:cs="Times New Roman"/>
          <w:bCs/>
          <w:sz w:val="24"/>
          <w:szCs w:val="24"/>
        </w:rPr>
        <w:t>trinta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minutos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03B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presidente encerrou os trabalhos e vai a presente Ata lavrada e assinada pelos presentes:</w:t>
      </w:r>
    </w:p>
    <w:p w14:paraId="328A185C" w14:textId="77777777" w:rsidR="0053535E" w:rsidRDefault="0053535E"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D54634" w14:textId="77777777"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32F5A" w14:textId="77777777"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535E" w:rsidSect="00EF0203">
      <w:pgSz w:w="11906" w:h="16838"/>
      <w:pgMar w:top="2438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5E"/>
    <w:rsid w:val="000B6946"/>
    <w:rsid w:val="000B6992"/>
    <w:rsid w:val="001C43BE"/>
    <w:rsid w:val="00245DFB"/>
    <w:rsid w:val="002730D7"/>
    <w:rsid w:val="002A54AF"/>
    <w:rsid w:val="002F250B"/>
    <w:rsid w:val="003732FE"/>
    <w:rsid w:val="00394D0C"/>
    <w:rsid w:val="003D771E"/>
    <w:rsid w:val="00416A6C"/>
    <w:rsid w:val="0042746D"/>
    <w:rsid w:val="004A1392"/>
    <w:rsid w:val="004B6FEB"/>
    <w:rsid w:val="004D0D12"/>
    <w:rsid w:val="004F750E"/>
    <w:rsid w:val="0053535E"/>
    <w:rsid w:val="00543AB4"/>
    <w:rsid w:val="0055329B"/>
    <w:rsid w:val="00612C26"/>
    <w:rsid w:val="0063653F"/>
    <w:rsid w:val="00706334"/>
    <w:rsid w:val="007C40B4"/>
    <w:rsid w:val="00845DB6"/>
    <w:rsid w:val="008637A3"/>
    <w:rsid w:val="008738D4"/>
    <w:rsid w:val="00885FD7"/>
    <w:rsid w:val="008A592C"/>
    <w:rsid w:val="008F02D4"/>
    <w:rsid w:val="009603B8"/>
    <w:rsid w:val="009721E2"/>
    <w:rsid w:val="009C7D26"/>
    <w:rsid w:val="00A10D6B"/>
    <w:rsid w:val="00A544DC"/>
    <w:rsid w:val="00AB64F2"/>
    <w:rsid w:val="00AD3F22"/>
    <w:rsid w:val="00B010F0"/>
    <w:rsid w:val="00B05275"/>
    <w:rsid w:val="00B52A5D"/>
    <w:rsid w:val="00BF37AD"/>
    <w:rsid w:val="00C27D7A"/>
    <w:rsid w:val="00C9683A"/>
    <w:rsid w:val="00D11462"/>
    <w:rsid w:val="00D5429B"/>
    <w:rsid w:val="00D80AB6"/>
    <w:rsid w:val="00E0318C"/>
    <w:rsid w:val="00E16920"/>
    <w:rsid w:val="00E57CA3"/>
    <w:rsid w:val="00E91C98"/>
    <w:rsid w:val="00EA33FE"/>
    <w:rsid w:val="00EF0203"/>
    <w:rsid w:val="00F25CD3"/>
    <w:rsid w:val="00F77879"/>
    <w:rsid w:val="00FC7A89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32E1"/>
  <w15:docId w15:val="{98806C7D-FDB7-4FFE-B375-0B0D5F1D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CMV_0020</cp:lastModifiedBy>
  <cp:revision>6</cp:revision>
  <cp:lastPrinted>2022-05-26T12:30:00Z</cp:lastPrinted>
  <dcterms:created xsi:type="dcterms:W3CDTF">2022-05-24T12:38:00Z</dcterms:created>
  <dcterms:modified xsi:type="dcterms:W3CDTF">2022-05-26T12:35:00Z</dcterms:modified>
</cp:coreProperties>
</file>