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Pr="008C1BCD" w:rsidRDefault="00D011C8">
      <w:pPr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  <w:r w:rsidRPr="008C1BCD">
        <w:rPr>
          <w:rFonts w:asciiTheme="minorHAnsi" w:hAnsiTheme="minorHAnsi"/>
          <w:b/>
          <w:color w:val="000000"/>
        </w:rPr>
        <w:t xml:space="preserve">INDICAÇÃO Nº </w:t>
      </w:r>
      <w:r w:rsidR="0049108D">
        <w:rPr>
          <w:rFonts w:asciiTheme="minorHAnsi" w:hAnsiTheme="minorHAnsi"/>
          <w:b/>
          <w:color w:val="000000"/>
        </w:rPr>
        <w:t>6</w:t>
      </w:r>
      <w:r w:rsidR="00E723C3">
        <w:rPr>
          <w:rFonts w:asciiTheme="minorHAnsi" w:hAnsiTheme="minorHAnsi"/>
          <w:b/>
          <w:color w:val="000000"/>
        </w:rPr>
        <w:t>1</w:t>
      </w:r>
      <w:r w:rsidRPr="008C1BCD">
        <w:rPr>
          <w:rFonts w:asciiTheme="minorHAnsi" w:hAnsiTheme="minorHAnsi"/>
          <w:b/>
          <w:color w:val="000000"/>
        </w:rPr>
        <w:t>/2021</w:t>
      </w:r>
    </w:p>
    <w:p w:rsidR="006D0301" w:rsidRPr="008C1BCD" w:rsidRDefault="006D0301">
      <w:pPr>
        <w:jc w:val="both"/>
        <w:rPr>
          <w:color w:val="000000"/>
        </w:rPr>
      </w:pPr>
    </w:p>
    <w:p w:rsidR="00E723C3" w:rsidRDefault="00933C5E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8C1BCD">
        <w:rPr>
          <w:rFonts w:ascii="Calibri" w:eastAsia="Calibri" w:hAnsi="Calibri"/>
          <w:lang w:eastAsia="en-US"/>
        </w:rPr>
        <w:t>CLERES MARIA CAVALHEIRO REVELANTE</w:t>
      </w:r>
      <w:r w:rsidR="001E5AA6" w:rsidRPr="008C1BCD">
        <w:rPr>
          <w:rFonts w:ascii="Calibri" w:eastAsia="Calibri" w:hAnsi="Calibri"/>
          <w:lang w:eastAsia="en-US"/>
        </w:rPr>
        <w:t>, Vereador</w:t>
      </w:r>
      <w:r w:rsidRPr="008C1BCD">
        <w:rPr>
          <w:rFonts w:ascii="Calibri" w:eastAsia="Calibri" w:hAnsi="Calibri"/>
          <w:lang w:eastAsia="en-US"/>
        </w:rPr>
        <w:t>a</w:t>
      </w:r>
      <w:r w:rsidR="0097023E" w:rsidRPr="008C1BCD">
        <w:rPr>
          <w:rFonts w:ascii="Calibri" w:eastAsia="Calibri" w:hAnsi="Calibri"/>
          <w:lang w:eastAsia="en-US"/>
        </w:rPr>
        <w:t xml:space="preserve"> do </w:t>
      </w:r>
      <w:r w:rsidRPr="008C1BCD">
        <w:rPr>
          <w:rFonts w:ascii="Calibri" w:eastAsia="Calibri" w:hAnsi="Calibri"/>
          <w:lang w:eastAsia="en-US"/>
        </w:rPr>
        <w:t>PT</w:t>
      </w:r>
      <w:r w:rsidR="0097023E" w:rsidRPr="008C1BCD">
        <w:rPr>
          <w:rFonts w:ascii="Calibri" w:eastAsia="Calibri" w:hAnsi="Calibri"/>
          <w:lang w:eastAsia="en-US"/>
        </w:rPr>
        <w:t xml:space="preserve">, </w:t>
      </w:r>
      <w:r w:rsidR="001063BB" w:rsidRPr="008C1BCD">
        <w:rPr>
          <w:rFonts w:ascii="Calibri" w:eastAsia="Calibri" w:hAnsi="Calibri"/>
          <w:lang w:eastAsia="en-US"/>
        </w:rPr>
        <w:t xml:space="preserve">nos termos dos </w:t>
      </w:r>
      <w:proofErr w:type="spellStart"/>
      <w:r w:rsidR="001063BB" w:rsidRPr="008C1BCD">
        <w:rPr>
          <w:rFonts w:ascii="Calibri" w:eastAsia="Calibri" w:hAnsi="Calibri"/>
          <w:lang w:eastAsia="en-US"/>
        </w:rPr>
        <w:t>arts</w:t>
      </w:r>
      <w:proofErr w:type="spellEnd"/>
      <w:r w:rsidR="001063BB" w:rsidRPr="008C1BCD">
        <w:rPr>
          <w:rFonts w:ascii="Calibri" w:eastAsia="Calibri" w:hAnsi="Calibri"/>
          <w:lang w:eastAsia="en-US"/>
        </w:rPr>
        <w:t>. 117 e 135 do Regimento Interno da Câmara Municipal, por meio deste expedient</w:t>
      </w:r>
      <w:r w:rsidR="00780598">
        <w:rPr>
          <w:rFonts w:ascii="Calibri" w:eastAsia="Calibri" w:hAnsi="Calibri"/>
          <w:lang w:eastAsia="en-US"/>
        </w:rPr>
        <w:t xml:space="preserve">e, indica ao </w:t>
      </w:r>
      <w:r w:rsidR="00C86BF9">
        <w:rPr>
          <w:rFonts w:ascii="Calibri" w:eastAsia="Calibri" w:hAnsi="Calibri"/>
          <w:lang w:eastAsia="en-US"/>
        </w:rPr>
        <w:t>P</w:t>
      </w:r>
      <w:r w:rsidR="00214F9E">
        <w:rPr>
          <w:rFonts w:ascii="Calibri" w:eastAsia="Calibri" w:hAnsi="Calibri"/>
          <w:lang w:eastAsia="en-US"/>
        </w:rPr>
        <w:t>oder Executivo Municipal</w:t>
      </w:r>
      <w:r w:rsidR="0049108D">
        <w:rPr>
          <w:rFonts w:ascii="Calibri" w:eastAsia="Calibri" w:hAnsi="Calibri"/>
          <w:lang w:eastAsia="en-US"/>
        </w:rPr>
        <w:t xml:space="preserve"> </w:t>
      </w:r>
      <w:r w:rsidR="00E723C3" w:rsidRPr="00E723C3">
        <w:rPr>
          <w:rFonts w:ascii="Calibri" w:eastAsia="Calibri" w:hAnsi="Calibri"/>
          <w:lang w:eastAsia="en-US"/>
        </w:rPr>
        <w:t xml:space="preserve">que seja encaminhado ao setor/órgão competente, </w:t>
      </w:r>
      <w:r w:rsidR="00E723C3">
        <w:rPr>
          <w:rFonts w:ascii="Calibri" w:eastAsia="Calibri" w:hAnsi="Calibri"/>
          <w:lang w:eastAsia="en-US"/>
        </w:rPr>
        <w:t>a</w:t>
      </w:r>
      <w:r w:rsidR="00E723C3" w:rsidRPr="00E723C3">
        <w:rPr>
          <w:rFonts w:ascii="Calibri" w:eastAsia="Calibri" w:hAnsi="Calibri"/>
          <w:lang w:eastAsia="en-US"/>
        </w:rPr>
        <w:t xml:space="preserve"> proposta para que os</w:t>
      </w:r>
      <w:r w:rsidR="00E723C3">
        <w:rPr>
          <w:rFonts w:ascii="Calibri" w:eastAsia="Calibri" w:hAnsi="Calibri"/>
          <w:lang w:eastAsia="en-US"/>
        </w:rPr>
        <w:t xml:space="preserve"> Quilombos se nosso município, </w:t>
      </w:r>
      <w:r w:rsidR="00E723C3" w:rsidRPr="00E723C3">
        <w:rPr>
          <w:rFonts w:ascii="Calibri" w:eastAsia="Calibri" w:hAnsi="Calibri"/>
          <w:lang w:eastAsia="en-US"/>
        </w:rPr>
        <w:t>Quilombo Júlio Borges e Quilombo Urbano sejam declarados oficialmente, como Patrimônio Histórico e Cultural de nosso Município, conforme prevê a Lei Municipal Nº 709/1998.</w:t>
      </w:r>
    </w:p>
    <w:p w:rsidR="00E723C3" w:rsidRDefault="00E723C3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E723C3" w:rsidRDefault="00E723C3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>O conceito de quilombos e a percepção política e social sobre estas populações negras denominadas de quilombos variou através dos tempos, mas teve um considerável papel político para o movimento negro no Brasil. Os estudos e as publicações de livros sobre quilombos são significativos, sendo que podemos citar as contribuições de Clovis Moura como um marco importante e histór</w:t>
      </w:r>
      <w:r>
        <w:rPr>
          <w:rFonts w:ascii="Calibri" w:eastAsia="Calibri" w:hAnsi="Calibri"/>
          <w:lang w:eastAsia="en-US"/>
        </w:rPr>
        <w:t>ico nesta área de conhecimento.</w:t>
      </w:r>
    </w:p>
    <w:p w:rsidR="00E723C3" w:rsidRDefault="00E723C3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7208" w:rsidRDefault="00E723C3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 xml:space="preserve">Os quilombos ganharam um estatuto novo na história política brasileira com o seu reconhecimento como Comunidades de Remanescentes de Quilombos na Constituição de 1988. Trata-se de uns dos temas de grande relevância na história nacional devido a vários fatores. Entretanto, durante muito tempo este tema foi tratado como assunto de pouca importância para a historiografia brasileira e estudos afins. Os quilombos eram tratados sob a ótica dos negros que fugiam para o mato durante o escravismo criminoso não se realçando a importância revolucionária e a forma permanente de confronto com o regime de imposição do trabalho escravizado. </w:t>
      </w:r>
    </w:p>
    <w:p w:rsidR="00777208" w:rsidRDefault="00777208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7208" w:rsidRDefault="00E723C3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>Desta maneira, o pensamento sobre quilombos foi determinante na mudança do pensamento negro da década de 1970, nos enfoques sobre as histórias da população negra no Brasil: a retomada sobre a valorização da cultura de base africana e, principalmente, das reflexões sobre os Terreiros. O modo de pensar de Muniz Sodré (SODRÉ, 1988), sobre a relação do Terreiro com a cidade instrui o movimento que se realiza no âmbito dos movimentos negros depois da década de 1970. Mas, também, a forma que o espírito de resistência quilombola se influi neste pensamento, possui interlocução com as razões do espírito de sociedade igualitária e de sociedade revolucionária. Portanto, terreiros e quilombos compuseram os elementos da</w:t>
      </w:r>
      <w:r>
        <w:rPr>
          <w:rFonts w:ascii="Calibri" w:eastAsia="Calibri" w:hAnsi="Calibri"/>
          <w:lang w:eastAsia="en-US"/>
        </w:rPr>
        <w:t xml:space="preserve"> </w:t>
      </w:r>
      <w:r w:rsidRPr="00E723C3">
        <w:rPr>
          <w:rFonts w:ascii="Calibri" w:eastAsia="Calibri" w:hAnsi="Calibri"/>
          <w:lang w:eastAsia="en-US"/>
        </w:rPr>
        <w:t>elaboração de um novo paradigma do pensamento dos movimentos negros a partir dos anos de 1970. Ambos se inserem no âmbito dos patrimônios culturais materiais e imateriais produtores de identidades e territorialidades.</w:t>
      </w:r>
    </w:p>
    <w:p w:rsidR="00777208" w:rsidRDefault="00777208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7208" w:rsidRDefault="00E723C3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lastRenderedPageBreak/>
        <w:t>Nosso município é rico pela diversidade cultural, como a própria expressão sugere, refere-se aos diferentes costumes e tradições de um povo, podendo ser representado através da língua, das crenças, dos comportamentos, dos valores, por meio da culinária, da política, da arte, da música,</w:t>
      </w:r>
      <w:r w:rsidR="00777208">
        <w:rPr>
          <w:rFonts w:ascii="Calibri" w:eastAsia="Calibri" w:hAnsi="Calibri"/>
          <w:lang w:eastAsia="en-US"/>
        </w:rPr>
        <w:t xml:space="preserve"> dentre tantos outros elementos.</w:t>
      </w:r>
    </w:p>
    <w:p w:rsidR="00777208" w:rsidRDefault="00777208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7208" w:rsidRDefault="00E723C3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>Presente em todo e qualquer grupo social, a diversidade representa a pluralidade e o respeito a tudo que é diferente aos olhos da sociedade. O conceito desse termo, portanto, vai muito além da definição atribuída nos dicionários.</w:t>
      </w:r>
    </w:p>
    <w:p w:rsidR="00777208" w:rsidRDefault="00777208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7208" w:rsidRDefault="00E723C3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 xml:space="preserve">A diversidade cultural também está atrelada ao sentimento de pertencimento e aceitação da identidade de cada indivíduo que compõe um grupo. Não é à toa que a UNESCO em sua declaração universal sobre a diversidade </w:t>
      </w:r>
      <w:r w:rsidR="00777208">
        <w:rPr>
          <w:rFonts w:ascii="Calibri" w:eastAsia="Calibri" w:hAnsi="Calibri"/>
          <w:lang w:eastAsia="en-US"/>
        </w:rPr>
        <w:t>cultural diz, no artigo 4º, que:</w:t>
      </w:r>
    </w:p>
    <w:p w:rsidR="00777208" w:rsidRDefault="00777208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7208" w:rsidRDefault="00E723C3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>A defesa da diversidade cultural é um imperativo ético, inseparável do respeito pela dignidade da pessoa humana. Implica o compromisso de respeitar os direitos humanos e as liberdades fundamentais, em particular os direitos das pessoas que pertencem a minorias e os dos povos autóctones (nativos ou indígenas). Ninguém pode invocar a diversidade cultural para violar os direitos humanos garantidos pelo direito internacional, nem para limitar seu alcance.</w:t>
      </w:r>
    </w:p>
    <w:p w:rsidR="00777208" w:rsidRDefault="00777208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E723C3" w:rsidRPr="00E723C3" w:rsidRDefault="00E723C3" w:rsidP="0077720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723C3">
        <w:rPr>
          <w:rFonts w:ascii="Calibri" w:eastAsia="Calibri" w:hAnsi="Calibri"/>
          <w:lang w:eastAsia="en-US"/>
        </w:rPr>
        <w:t>Por defender os povos minoritários e os movimentos sociais, nosso mandato entende como um ato administrativo necessário e respeitoso, tornar os quilombos de nosso município Patrimônio histórico e cultural preservando nossa história e nossa cultura.</w:t>
      </w:r>
    </w:p>
    <w:p w:rsidR="0049108D" w:rsidRDefault="0049108D" w:rsidP="00E723C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Aguardando atendimento da presente indicação, desde já agradeço.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 xml:space="preserve">                          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3D3176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Atenciosamente.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Câmara Municipal de Vereadores em 30 de julho de 2021.</w:t>
      </w:r>
    </w:p>
    <w:p w:rsidR="008C1BCD" w:rsidRPr="008C1BCD" w:rsidRDefault="008C1BC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Pr="008C1BCD" w:rsidRDefault="00D011C8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_________________________________</w:t>
      </w:r>
    </w:p>
    <w:p w:rsidR="001B6E6C" w:rsidRPr="008C1BCD" w:rsidRDefault="00353BDF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CLERES MARIA CAVALHEIRO REVELANTE</w:t>
      </w:r>
      <w:r w:rsidR="001B6E6C" w:rsidRPr="008C1BCD">
        <w:rPr>
          <w:rFonts w:ascii="Calibri" w:hAnsi="Calibri"/>
          <w:color w:val="000000"/>
        </w:rPr>
        <w:t xml:space="preserve"> </w:t>
      </w:r>
    </w:p>
    <w:p w:rsidR="006D0301" w:rsidRPr="008C1BCD" w:rsidRDefault="001E5AA6" w:rsidP="00205218">
      <w:pPr>
        <w:spacing w:line="360" w:lineRule="auto"/>
        <w:jc w:val="center"/>
        <w:rPr>
          <w:color w:val="000000"/>
        </w:rPr>
      </w:pPr>
      <w:r w:rsidRPr="008C1BCD">
        <w:rPr>
          <w:rFonts w:ascii="Calibri" w:hAnsi="Calibri"/>
          <w:color w:val="000000"/>
        </w:rPr>
        <w:t>Vereador</w:t>
      </w:r>
      <w:r w:rsidR="00353BDF" w:rsidRPr="008C1BCD">
        <w:rPr>
          <w:rFonts w:ascii="Calibri" w:hAnsi="Calibri"/>
          <w:color w:val="000000"/>
        </w:rPr>
        <w:t>a</w:t>
      </w:r>
      <w:r w:rsidR="00D011C8" w:rsidRPr="008C1BCD">
        <w:rPr>
          <w:rFonts w:ascii="Calibri" w:hAnsi="Calibri"/>
          <w:color w:val="000000"/>
        </w:rPr>
        <w:t xml:space="preserve"> – </w:t>
      </w:r>
      <w:r w:rsidR="001B6E6C" w:rsidRPr="008C1BCD">
        <w:rPr>
          <w:rFonts w:ascii="Calibri" w:hAnsi="Calibri"/>
          <w:color w:val="000000"/>
        </w:rPr>
        <w:t>P</w:t>
      </w:r>
      <w:r w:rsidR="00353BDF" w:rsidRPr="008C1BCD">
        <w:rPr>
          <w:rFonts w:ascii="Calibri" w:hAnsi="Calibri"/>
          <w:color w:val="000000"/>
        </w:rPr>
        <w:t>T</w:t>
      </w:r>
    </w:p>
    <w:sectPr w:rsidR="006D0301" w:rsidRPr="008C1BCD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066B20"/>
    <w:rsid w:val="000C3AAA"/>
    <w:rsid w:val="000F1681"/>
    <w:rsid w:val="00104EC9"/>
    <w:rsid w:val="001063BB"/>
    <w:rsid w:val="00115EFF"/>
    <w:rsid w:val="00125D75"/>
    <w:rsid w:val="001A1B04"/>
    <w:rsid w:val="001B60AB"/>
    <w:rsid w:val="001B6E6C"/>
    <w:rsid w:val="001D4EC9"/>
    <w:rsid w:val="001E5AA6"/>
    <w:rsid w:val="00205218"/>
    <w:rsid w:val="00214F9E"/>
    <w:rsid w:val="00244D22"/>
    <w:rsid w:val="0026110F"/>
    <w:rsid w:val="002901A3"/>
    <w:rsid w:val="002C344B"/>
    <w:rsid w:val="00316E2A"/>
    <w:rsid w:val="00353BDF"/>
    <w:rsid w:val="003A6BB4"/>
    <w:rsid w:val="003D3176"/>
    <w:rsid w:val="003D3CBC"/>
    <w:rsid w:val="003D40A9"/>
    <w:rsid w:val="003F1FAE"/>
    <w:rsid w:val="00403769"/>
    <w:rsid w:val="004724CC"/>
    <w:rsid w:val="004725A8"/>
    <w:rsid w:val="0049108D"/>
    <w:rsid w:val="005609CC"/>
    <w:rsid w:val="005645BE"/>
    <w:rsid w:val="005657BC"/>
    <w:rsid w:val="006457F9"/>
    <w:rsid w:val="006D0301"/>
    <w:rsid w:val="007040B6"/>
    <w:rsid w:val="0073505B"/>
    <w:rsid w:val="00745A96"/>
    <w:rsid w:val="00754F66"/>
    <w:rsid w:val="00777208"/>
    <w:rsid w:val="00780598"/>
    <w:rsid w:val="00824D2A"/>
    <w:rsid w:val="008C1BCD"/>
    <w:rsid w:val="008E182F"/>
    <w:rsid w:val="00910F82"/>
    <w:rsid w:val="0092469D"/>
    <w:rsid w:val="00933C5E"/>
    <w:rsid w:val="0097023E"/>
    <w:rsid w:val="009877CE"/>
    <w:rsid w:val="009945AB"/>
    <w:rsid w:val="009B65CA"/>
    <w:rsid w:val="00A21415"/>
    <w:rsid w:val="00AE4CC1"/>
    <w:rsid w:val="00B761D9"/>
    <w:rsid w:val="00BD4EE1"/>
    <w:rsid w:val="00C35E74"/>
    <w:rsid w:val="00C86BF9"/>
    <w:rsid w:val="00D011C8"/>
    <w:rsid w:val="00D541B4"/>
    <w:rsid w:val="00DB1D91"/>
    <w:rsid w:val="00DE4468"/>
    <w:rsid w:val="00E16966"/>
    <w:rsid w:val="00E723C3"/>
    <w:rsid w:val="00E8678F"/>
    <w:rsid w:val="00ED1A30"/>
    <w:rsid w:val="00ED2A58"/>
    <w:rsid w:val="00F02049"/>
    <w:rsid w:val="00F1779E"/>
    <w:rsid w:val="00F42013"/>
    <w:rsid w:val="00F4606F"/>
    <w:rsid w:val="00FD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E4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FBD4-6B6A-42C9-B52E-7E827B45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2021-08-02T13:33:00Z</cp:lastPrinted>
  <dcterms:created xsi:type="dcterms:W3CDTF">2021-08-03T00:51:00Z</dcterms:created>
  <dcterms:modified xsi:type="dcterms:W3CDTF">2021-08-03T00:51:00Z</dcterms:modified>
</cp:coreProperties>
</file>