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39/2020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seis dias do mês de outubro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38/2020 que foi posta em discussão, votação e aprovada por unanimidade. Na sequência, a presidente solicitou ao secretário que fizesse a leitura do Requerimento para uso da Tribuna Popular, ocasião em que Telmo Fabrício </w:t>
      </w:r>
      <w:proofErr w:type="spellStart"/>
      <w:r>
        <w:rPr>
          <w:sz w:val="26"/>
          <w:szCs w:val="26"/>
        </w:rPr>
        <w:t>Bonucielli</w:t>
      </w:r>
      <w:proofErr w:type="spellEnd"/>
      <w:r>
        <w:rPr>
          <w:sz w:val="26"/>
          <w:szCs w:val="26"/>
        </w:rPr>
        <w:t xml:space="preserve"> de Souza falou sobre o Projeto de Lei que dispõe sobre o Conselho Municipal dos Direitos da Pessoa com Deficiência. O secretário fez a leitura do Ofício do Poder Executivo nº 353/2020 – Encaminha Mensagem Retificativa ao Projeto de Lei nº 2650/2020; do Ofício do Poder Executivo nº 358/2020 – Encaminha Decreto Municipal nº 3130/2020; e do Ofício do Poder Executivo nº 362/2020 – Encaminha Projetos de Lei nº 2664 e 2665/2020. O secretário fez a leitura da Mensagem Retificativa ao Projeto de Lei do Executivo nº 2650, de 20 de agosto de 2020 – Dispõe sobre a criação do Conselho Municipal dos Direitos da Pessoa com Deficiência, estabelece a Política Municipal da Pessoa com Deficiência e dá outras providências, que veio com parecer favorável das duas Comissões. A presidente colocou em discussão o Projeto de Lei do Executivo nº 2650/2020, com a respectiva Mensagem Retificativa, foi posto em votação e aprovado por unanimidade. O secretário fez a leitura do Projeto de Lei do Legislativo nº 9, de 13 de outubro de 2020 – Altera o art. 5º da Lei Municipal nº 777, de 30 de setembro de 1998 que dispõe sobre o Código de Obras do Município – </w:t>
      </w:r>
      <w:r>
        <w:rPr>
          <w:sz w:val="26"/>
          <w:szCs w:val="26"/>
        </w:rPr>
        <w:lastRenderedPageBreak/>
        <w:t xml:space="preserve">Proponente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– PDT, que veio com parecer favorável das duas Comissões, foi posto em discussão, votação e aprovado por unanimidade. O secretário fez a leitura do Pedido de Providências nº 26/2020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Pede que o Poder Executivo Municipal providencie o reparo da iluminação pública na Rua Usina da Toca, nº 101, Bairro CEEE, nesta cidade. O Pedido de Providências foi posto em discussão, votação e aprovado por unanimidade. Posteriormente o secretário fez a leitura do convite para Audiência Pública. 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Projeto de Lei do Executivo nº 2655, de 14 de setembro de 2020 – </w:t>
      </w:r>
      <w:proofErr w:type="gramStart"/>
      <w:r>
        <w:rPr>
          <w:sz w:val="26"/>
          <w:szCs w:val="26"/>
        </w:rPr>
        <w:t>Dispõe</w:t>
      </w:r>
      <w:proofErr w:type="gramEnd"/>
      <w:r>
        <w:rPr>
          <w:sz w:val="26"/>
          <w:szCs w:val="26"/>
        </w:rPr>
        <w:t xml:space="preserve"> sobre a alteração dos incisos I, II, III e §7º do art. 13 da Lei Municipal nº 1388/2005, e dá outras providências; Projeto de Lei do Executivo nº 2660, de 07 de outubro de 2020 – Dispõe sobre instalações de condomínios horizontais fechados em glebas situadas em áreas urbanas e/ou zona rural e dá outras providências; Projeto de Lei do Executivo nº 2661, de 06 de outubro de 2020 – Dispõe sobre a Política Municipal de Saneamento Básico, o Plano Municipal de Saneamento Básico (PMSB) do município de Salto do Jacuí – RS e dá outras providências; e Projeto de Lei do Executivo nº 2663, de 13 de outubro de 2020 – Altera o parágrafo 4º, do art. 1º da Lei Municipal 1720/2009 e dá outras providências. Estão baixando nas Comissões: Projeto de Lei do Executivo nº 2664, de 19 de outubro de 2020 – Dispõe sobre o prolongamento da via pública intitulada Rua Evandro Miguel Elias e dá outras providências; e Projeto de Lei do Executivo nº 2665, de 22 de outubro de 2020 – Dispõe sobre a concessão de uso de imóvel público e dá outras providências. </w:t>
      </w:r>
      <w:r>
        <w:rPr>
          <w:bCs/>
          <w:sz w:val="26"/>
          <w:szCs w:val="26"/>
        </w:rPr>
        <w:t xml:space="preserve">Na Tribuna Parlamentar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falou sobre os pedidos de informações que </w:t>
      </w:r>
      <w:r>
        <w:rPr>
          <w:bCs/>
          <w:sz w:val="26"/>
          <w:szCs w:val="26"/>
        </w:rPr>
        <w:lastRenderedPageBreak/>
        <w:t>não são respondidos</w:t>
      </w:r>
      <w:bookmarkStart w:id="0" w:name="_GoBack"/>
      <w:bookmarkEnd w:id="0"/>
      <w:r>
        <w:rPr>
          <w:bCs/>
          <w:sz w:val="26"/>
          <w:szCs w:val="26"/>
        </w:rPr>
        <w:t>, falou da importância do atendimento nos postos de saúde, pediu uma atenção especial em relação ao Projeto de Lei nº 2660/2020 e solicitou ao Executivo que providencie a construção de muro ou instalação de grade em volta do prédio do CRAS que está em construção. Nada mais havendo a se tratar, às vinte horas e quinze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6298-AF6F-4E89-B0EE-F65F0AE1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cp:lastPrinted>2020-10-02T10:44:00Z</cp:lastPrinted>
  <dcterms:created xsi:type="dcterms:W3CDTF">2020-11-09T13:18:00Z</dcterms:created>
  <dcterms:modified xsi:type="dcterms:W3CDTF">2020-11-09T14:05:00Z</dcterms:modified>
</cp:coreProperties>
</file>