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82/2020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7426/2020</w:t>
      </w:r>
      <w:r>
        <w:rPr>
          <w:rFonts w:eastAsia="Calibri" w:cs="Arial"/>
        </w:rPr>
        <w:tab/>
        <w:t xml:space="preserve">                             </w:t>
      </w:r>
      <w:r>
        <w:rPr>
          <w:rFonts w:eastAsia="Calibri" w:cs="Arial"/>
          <w:b/>
        </w:rPr>
        <w:t>Data:</w:t>
      </w:r>
      <w:r>
        <w:rPr>
          <w:rFonts w:eastAsia="Calibri" w:cs="Arial"/>
        </w:rPr>
        <w:t xml:space="preserve"> 16 de outubro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2663/2020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pPr>
      <w:r>
        <w:rPr>
          <w:rFonts w:eastAsia="Calibri" w:cs="Arial"/>
          <w:b/>
        </w:rPr>
        <w:t xml:space="preserve">Ementa: </w:t>
      </w:r>
      <w:r>
        <w:t>Altera o parágrafo 4º, do art. 1º da Lei Municipal 1720/2009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
        </w:rPr>
      </w:pPr>
      <w:r>
        <w:rPr>
          <w:rFonts w:eastAsia="Calibri" w:cs="Arial"/>
        </w:rPr>
        <w:tab/>
        <w:t>O Projeto de Lei em análise foi apresentado nesta Casa Legislativa no dia 16 de outubro de 2020 e tem como objetivo alterar o parágrafo 4º, do art. 1º da Lei Municipal 1720/2009.</w:t>
      </w: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Preliminarmente, a</w:t>
      </w:r>
      <w:r>
        <w:rPr>
          <w:rFonts w:eastAsia="Calibri" w:cs="Arial"/>
        </w:rPr>
        <w:t xml:space="preserve"> inciativa do presente </w:t>
      </w:r>
      <w:proofErr w:type="gramStart"/>
      <w:r>
        <w:rPr>
          <w:rFonts w:eastAsia="Calibri" w:cs="Arial"/>
        </w:rPr>
        <w:t>projeto</w:t>
      </w:r>
      <w:proofErr w:type="gramEnd"/>
      <w:r>
        <w:rPr>
          <w:rFonts w:eastAsia="Calibri" w:cs="Arial"/>
        </w:rPr>
        <w:t xml:space="preserve"> de lei está correta, atendendo o disposto</w:t>
      </w:r>
      <w:r>
        <w:rPr>
          <w:rFonts w:eastAsia="Calibri" w:cs="Arial"/>
        </w:rPr>
        <w:t xml:space="preserve"> </w:t>
      </w:r>
      <w:r>
        <w:rPr>
          <w:rFonts w:eastAsia="Calibri" w:cs="Arial"/>
        </w:rPr>
        <w:t>no inciso II do art</w:t>
      </w:r>
      <w:r>
        <w:rPr>
          <w:rFonts w:eastAsia="Calibri" w:cs="Arial"/>
        </w:rPr>
        <w:t>. 32, da Lei Orgânica Municipal.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Conforme justificativa, O Município de Salto do Jacuí, a partir do exercício de 2015, promoveu alterações na organização e funcionamento do RPPS - Regime Geral de Previdência </w:t>
      </w:r>
      <w:proofErr w:type="gramStart"/>
      <w:r>
        <w:rPr>
          <w:rFonts w:eastAsia="Calibri" w:cs="Arial"/>
        </w:rPr>
        <w:t>Social dos Servidores Públicos Municipais, desvinculando a Folha de Pagamento dos Servidores Inativos e Pensionistas da Folha Geral do Município</w:t>
      </w:r>
      <w:proofErr w:type="gramEnd"/>
      <w:r>
        <w:rPr>
          <w:rFonts w:eastAsia="Calibri" w:cs="Arial"/>
        </w:rPr>
        <w:t>, motivo pelo qual é necessário aumentar a taxa de administração, por haver dificuldade em manter os serviços com a Taxa de Administração em 1,00 % prevista na Lei Municipal nº 2.245/16. Por isso, o presente Projeto de Lei objetiva elevar a taxa de administração para 2,00 %.</w:t>
      </w:r>
      <w:bookmarkStart w:id="0" w:name="_GoBack"/>
      <w:bookmarkEnd w:id="0"/>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2663,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05 de novembro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297</Words>
  <Characters>1609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cp:revision>
  <cp:lastPrinted>2020-08-17T19:43:00Z</cp:lastPrinted>
  <dcterms:created xsi:type="dcterms:W3CDTF">2020-11-09T14:57:00Z</dcterms:created>
  <dcterms:modified xsi:type="dcterms:W3CDTF">2020-11-09T15:05:00Z</dcterms:modified>
</cp:coreProperties>
</file>