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DE MESA Nº 010, DE 18 DE SETEMBRO DE 2020.</w:t>
      </w:r>
    </w:p>
    <w:p>
      <w:pPr>
        <w:spacing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as regras a serem observadas pelo agente público da Câmara Municipal de Salto do Jacuí, diante das eleições municipais de 2020, especialmente quanto às condutas proibidas.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 DE SALTO DO JACUÍ, no exercício das atribuições que lhe conferem 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31, 32 e 38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Regimento Interno: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competência que lhe confere o § 3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do art. 37 da Lei Federal nº 9.504, de 30 de setembro de 1997, bem como a sua condição de órgão diretivo do Poder Legislativo Municipal;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dever de atender os princípios que regem a administração pública na condução das ações institucionais do Poder Legislativo Municipal;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eleições municipais que acontecerão em 2020;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dever republicado de o Poder Legislativo Municipal manter-se imparcial diante dos pleitos, evitando favorecimentos que possam comprometer a igualdade de disputa dentre as candidaturas;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legislação eleitoral, as resoluções do Tribunal Superior Eleitoral, do Tribunal Regional Eleitoral, a jurisprudência eleitoral, bem como a necessidade de regulamentação das condutas vedadas da instituição e de seus agentes públicos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As regras a serem observadas pelo agente público da Câmara Municipal, durante o período eleitoral, em 2020, especialmente quanto às proibições de conduta, são definidas nesta Resolução de Mesa.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base de leis para a definição das regras descritas nesta Resolução de Mesa é o Código Eleitoral, a Lei Federal n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9.504, de 30 de setembro de 1997, e as resoluções editadas pelo Tribunal Superior Eleitoral e pelo Tribunal Regional Eleitoral do Rio Grande do Sul.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Considera-se, para fins desta Resolução de Mesa, como agente público da Câmara Municipal: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vereador;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diretor;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– chefe;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assessor;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servidor titular de cargo efetivo;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empregado público;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prestador de serviço terceirizado.</w:t>
      </w:r>
    </w:p>
    <w:p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divulgação de ação institucional da Câmara Municipal e da atuação de seus agentes públicos somente será admitida se tiver caráter educativo, informativo ou de orientação social e não resultar em promoção pessoal ou em propaganda eleitoral.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publicidade institucional deve ter como referência uma das seguintes caracterizações: 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publicidade institucional: destinada a divulgar atos, ações, programas, obras, serviços, campanhas, metas e resultados do Poder Legislativo, com o objetivo produzir sua valorização, estimular a participação da sociedade no debate parlamentar, no controle e na formulação de políticas públicas;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publicidade de utilidade pública: destinada a divulgar temas de interesse social e apresenta comando de ação objetivo, claro e de fácil entendimento, com o objetivo de informar, educar, orientar, mobilizar, prevenir ou alertar a população para a adoção de comportamentos que gerem benefícios individuais e/ou coletivos, conhecimento da atuação parlamentar e do processo legislativo; 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publicidade legal: destinada à divulgação de projetos de lei, justificativas, pareceres, atas, editais, decisões, avisos e de outras informações do Poder Legislativo, com o objetivo de atender a prescrições legais.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É proibida a menção de nome de agente público precedido dos símbolos gráficos,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hashtags</w:t>
      </w:r>
      <w:proofErr w:type="spellEnd"/>
      <w:r>
        <w:rPr>
          <w:rFonts w:ascii="Times New Roman" w:hAnsi="Times New Roman" w:cs="Times New Roman"/>
          <w:sz w:val="24"/>
          <w:szCs w:val="24"/>
        </w:rPr>
        <w:t>, arroba ou de qualquer outra forma de transferência de audiência, por meios eletrônicos, salvo no caso de justificado interesse público.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impulsionamento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matérias em redes sociais é admitido apenas em situações de justificado interesse público, visando alcançar maior efetividade na comunicação institucional.</w:t>
      </w:r>
    </w:p>
    <w:p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São proibidas ao agente público, no âmbito da Câmara Municipal, as seguintes condutas: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fixar, colocar ou distribuir material de campanha eleitoral de qualquer candidatura nos ambientes internos e externos, inclusive janelas, fachadas e estacionamento;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realizar reuniões ou receber para tratar de assuntos relacionados com campanha eleitoral de qualquer candidatura, partido político ou coligação, inclusive no Gabinete de Vereador;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ceder ou usar, em benefício de qualquer candidatura, partido político ou coligação, bens móveis ou imóveis pertencentes à Câmara Municipal, ressalvada a realização de convenção partidária;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 - usar no ambiente de trabalho, em reuniões, inclusive de comissão, audiências públicas ou sessões plenárias qualquer espécie de vestimenta, adesivo,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outra forma de identificação de candidatura, partido político ou coligação;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transportar em veículo oficial da Câmara Municipal material com propaganda eleitoral de qualquer candidatura ou candidato;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usar informações constantes em banco de dados da Câmara Municipal para realização de propaganda eleitoral;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usar as redes sociais, o site, o blog ou qualquer outro meio de divulgação institucional, inclusive jornais, rádios e demais espaços contratados pela Câmara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Municipal, para veicular propaganda eleitoral de qualquer candidatura, partido político ou coligação;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utilizar o conteúdo jornalístico produzido pelos profissionais de comunicação da Câmara Municipal disponibilizado nas redes sociais, no site, no blog ou qualquer outro meio de divulgação institucional, inclusive jornais, rádios e demais espaços contratados, na veiculação de propaganda eleitoral de qualquer candidatura ou candidato;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 realizar promoção pessoal ou propaganda eleitoral em pronunciamentos, inclusive em sessão plenária, reunião de comissão ou audiência pública;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ceder servidor para partido político ou coligação;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– realizar, durante o horário de expediente, campanha eleitoral para qualquer candidatura, partido político ou coligação, dentro ou fora do recinto da Câmara Municipal;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colocar propaganda eleitoral em árvores ou jardins da Câmara Municipal, bem como em muros, cercas e tapumes divisórios, mesmo que não lhes cause dano;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usar materiais ou serviços custeados pela Câmara Municipal, que excedam as prerrogativas consignadas em regulamento;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fazer ou permitir o uso promocional, em favor de qualquer candidatura, partido político ou coligação, de distribuição gratuita de bens e serviços de caráter social, custeados ou subvencionados pela Câmara Municipal;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- guardar, estocar ou acumular material referente à campanha eleitoral de qualquer candidatura, partido político ou coligação na Câmara Municipal, mesmo em gabinete de vereador;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utilizar os recursos provenientes da quota básica mensal para outro fim que não o de custear materiais e serviços pertinentes à atividade parlamentar institucional do Vereador.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 Presidente da Câmara Municipal, ao constatar o desatendimento de qualquer dispositivo desta Resolução de Mesa, por qualquer agente público, determinará a imediata cessação da conduta vedada, com a consequente apuração de responsabilidade. </w:t>
      </w:r>
    </w:p>
    <w:p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4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As linhas de telefonia móvel e fixa, computadores, demais equipamentos de comunicação e o veículo da Câmara Municipal deverão ser usados, exclusivamente, para o exercício do mandato, conforme a legislação aplicável.</w:t>
      </w:r>
    </w:p>
    <w:p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É vedada a veiculação de matéria que tenha como característica: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transmissão, ainda que sob a forma de entrevista jornalística, de resultados ou imagens de realização de pesquisa ou qualquer outro tipo de consulta popular de natureza eleitoral;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propaganda política;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tratamento privilegiado a candidato, partido político ou coligação;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divulgação de filmes ou qualquer outro programa com alusão ou crítica a candidato, partido político ou coligação, mesmo que dissimuladamente;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divulgação do nome de programa que se refira a candidato escolhido em convenção partidária, ainda quando preexistente, inclusive se coincidente com o nome de candidato ou com variação nominal por ele adotada;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a transmissão de programa apresentado ou comentado por candidato escolhido em convenção partidária.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1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As restrições deste artigo deverão ser observadas também nas transmissões das sessões plenárias, audiências públicas e reuniões de comissão.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observância das restrições estabelecidas neste artigo será controlada pelo profissional de comunicação responsável pela divulgação de matéria escrita ou de imagem, em qualquer mídia, inclusive em meios eletrônicos.</w:t>
      </w:r>
    </w:p>
    <w:p>
      <w:pPr>
        <w:tabs>
          <w:tab w:val="left" w:pos="1418"/>
        </w:tabs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</w:t>
      </w:r>
      <w:r>
        <w:rPr>
          <w:rFonts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Subsidiariamente ao disposto nesta Resolução de Mesa</w:t>
      </w:r>
      <w:proofErr w:type="gramStart"/>
      <w:r>
        <w:rPr>
          <w:rFonts w:ascii="Times New Roman" w:hAnsi="Times New Roman" w:cs="Times New Roman"/>
          <w:sz w:val="24"/>
          <w:szCs w:val="24"/>
        </w:rPr>
        <w:t>, serão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aplicadas as demais normas previstas na legislação eleitoral, inclusive quanto ao conceito de propaganda eleitoral e aos prazos de proibições de conduta previstos no calendário eleitoral de 2020, definido pela Resolução do Tribunal Superior Eleitoral nº 23.606, de 17 de dezembro de 2019.</w:t>
      </w:r>
    </w:p>
    <w:p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7</w:t>
      </w:r>
      <w:r>
        <w:rPr>
          <w:rFonts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Salto do Jacuí – RS, em 18 de setembro de 2020.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Presidente do Legislativo</w:t>
      </w:r>
    </w:p>
    <w:p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ISABEL DE OLIVEIRA ELIAS            GELSO SOARES DE BRITO</w:t>
      </w:r>
    </w:p>
    <w:p>
      <w:pPr>
        <w:spacing w:after="120"/>
        <w:jc w:val="center"/>
      </w:pPr>
      <w:r>
        <w:rPr>
          <w:rFonts w:ascii="Times New Roman" w:hAnsi="Times New Roman" w:cs="Times New Roman"/>
          <w:sz w:val="24"/>
          <w:szCs w:val="24"/>
        </w:rPr>
        <w:t>Ver. Vice-Presidente                                        Ver. 1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Secretário</w:t>
      </w:r>
    </w:p>
    <w:sectPr>
      <w:pgSz w:w="11906" w:h="16838"/>
      <w:pgMar w:top="2694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1398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9</cp:revision>
  <cp:lastPrinted>2020-09-21T19:43:00Z</cp:lastPrinted>
  <dcterms:created xsi:type="dcterms:W3CDTF">2020-09-18T12:57:00Z</dcterms:created>
  <dcterms:modified xsi:type="dcterms:W3CDTF">2020-09-21T23:18:00Z</dcterms:modified>
</cp:coreProperties>
</file>