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71/2020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7384/2020</w:t>
      </w:r>
      <w:r>
        <w:rPr>
          <w:rFonts w:eastAsia="Calibri" w:cs="Arial"/>
        </w:rPr>
        <w:tab/>
        <w:t xml:space="preserve">                             </w:t>
      </w:r>
      <w:r>
        <w:rPr>
          <w:rFonts w:eastAsia="Calibri" w:cs="Arial"/>
          <w:b/>
        </w:rPr>
        <w:t>Data:</w:t>
      </w:r>
      <w:r>
        <w:rPr>
          <w:rFonts w:eastAsia="Calibri" w:cs="Arial"/>
        </w:rPr>
        <w:t xml:space="preserve"> 11 de setembro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2656/2020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Autoriza o Poder Executivo Municipal a realizar a abertura de crédito especial no valor de R$ 10.000,00 (dez mil reais)</w:t>
      </w:r>
      <w:bookmarkStart w:id="0" w:name="_GoBack"/>
      <w:bookmarkEnd w:id="0"/>
      <w:r>
        <w:rPr>
          <w:rFonts w:eastAsia="Calibri" w:cs="Arial"/>
          <w:bCs/>
        </w:rPr>
        <w:t xml:space="preserve"> e dá outras providências.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o Poder Executivo Municipal a realizar a abertura de crédito especial no valor de R$ 10.000,00 (dez mil reais).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o Projeto de Lei compreende os requisitos necessários para a abertura de crédito adicional especial, estando sob o respaldo do art. 41, inciso II, e do art. 43, § 1º, inciso I, da Lei nº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Município recebeu em dezembro de 2019 o recurso da Cessão Onerosa do </w:t>
      </w:r>
      <w:proofErr w:type="spellStart"/>
      <w:r>
        <w:rPr>
          <w:rFonts w:eastAsia="Calibri" w:cs="Arial"/>
        </w:rPr>
        <w:t>Pré</w:t>
      </w:r>
      <w:proofErr w:type="spellEnd"/>
      <w:r>
        <w:rPr>
          <w:rFonts w:eastAsia="Calibri" w:cs="Arial"/>
        </w:rPr>
        <w:t>-Sal, que está sendo usado para investimentos.</w:t>
      </w:r>
    </w:p>
    <w:p>
      <w:pPr>
        <w:tabs>
          <w:tab w:val="left" w:pos="1701"/>
          <w:tab w:val="left" w:pos="5059"/>
        </w:tabs>
        <w:spacing w:after="0" w:line="240" w:lineRule="auto"/>
        <w:ind w:firstLine="1701"/>
        <w:jc w:val="both"/>
        <w:rPr>
          <w:rFonts w:eastAsia="Calibri" w:cs="Arial"/>
        </w:rPr>
      </w:pPr>
    </w:p>
    <w:p>
      <w:pPr>
        <w:tabs>
          <w:tab w:val="left" w:pos="1701"/>
          <w:tab w:val="left" w:pos="2166"/>
        </w:tabs>
        <w:spacing w:after="0" w:line="240" w:lineRule="auto"/>
        <w:ind w:firstLine="1701"/>
        <w:jc w:val="both"/>
        <w:rPr>
          <w:rFonts w:eastAsia="Calibri" w:cs="Arial"/>
        </w:rPr>
      </w:pPr>
      <w:r>
        <w:rPr>
          <w:rFonts w:eastAsia="Calibri" w:cs="Arial"/>
        </w:rPr>
        <w:t>Conclui-se que o Projeto de Lei nº 2656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17 de setembro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9297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F6D93-B194-40B9-A8AD-5035699A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1358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2020-05-20T14:37:00Z</cp:lastPrinted>
  <dcterms:created xsi:type="dcterms:W3CDTF">2020-09-21T22:09:00Z</dcterms:created>
  <dcterms:modified xsi:type="dcterms:W3CDTF">2020-09-21T22:11:00Z</dcterms:modified>
</cp:coreProperties>
</file>