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76/2020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7403/2020</w:t>
      </w:r>
      <w:r>
        <w:rPr>
          <w:rFonts w:eastAsia="Calibri" w:cs="Arial"/>
        </w:rPr>
        <w:tab/>
        <w:t xml:space="preserve">                             </w:t>
      </w:r>
      <w:r>
        <w:rPr>
          <w:rFonts w:eastAsia="Calibri" w:cs="Arial"/>
          <w:b/>
        </w:rPr>
        <w:t>Data:</w:t>
      </w:r>
      <w:r>
        <w:rPr>
          <w:rFonts w:eastAsia="Calibri" w:cs="Arial"/>
        </w:rPr>
        <w:t xml:space="preserve"> 23 de setembro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2657/2020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pPr>
      <w:r>
        <w:rPr>
          <w:rFonts w:eastAsia="Calibri" w:cs="Arial"/>
          <w:b/>
        </w:rPr>
        <w:t xml:space="preserve">Ementa: </w:t>
      </w:r>
      <w:r>
        <w:t>I</w:t>
      </w:r>
      <w:bookmarkStart w:id="0" w:name="_GoBack"/>
      <w:bookmarkEnd w:id="0"/>
      <w:r>
        <w:t>nstitui o cadastro técnico municipal de atividades potencialmente poluidoras ou utilizadoras de recursos ambientais, e cria a taxa de controle e fiscalização ambiental municipal, de acordo com a Lei Federal 6.938/81 e alterações,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O Projeto de Lei em análise foi apresentado nesta Casa Legislativa no dia 23 de setembro de 2020 e tem como objetivo instituir o cadastro técnico municipal de atividades potencialmente poluidoras ou utilizadoras de recursos ambientais, e cria a taxa de controle e fiscalização ambiental municipal, de acordo com a Lei Federal 6.938/81 e alterações.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Preliminarmente, instituição da TCFA no âmbito local é matéria encontra-se prevista nas competências legislativas conferidas aos Municípios, conforme dispõem a Constituição Federal e a Lei Orgânica do Município.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a solicitação da revogação da Lei 1968/2012 se dá em função de a mesma não mais atender as necessidades surgidas com a oportunidade de se firmar Acordo de Cooperação Técnica com o Estado para que ao município possa ser repassada a parte a ele devida dos empreendedores que deverão se cadastrar junto ao órgão federal e/ou estadual. Estando o novo Projeto de Lei dentro das exigências Estaduais para que os valores devidos ao município possam ser capturados.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2657,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08 de outubro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1861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7</cp:revision>
  <cp:lastPrinted>2020-08-17T19:43:00Z</cp:lastPrinted>
  <dcterms:created xsi:type="dcterms:W3CDTF">2020-10-13T22:48:00Z</dcterms:created>
  <dcterms:modified xsi:type="dcterms:W3CDTF">2020-10-13T22:57:00Z</dcterms:modified>
</cp:coreProperties>
</file>