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43/2020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GILMAR LOPES DE SOUZA,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sugerindo que na próxima Lei Orçamentária Anual seja reduzido de 7% para 4% o valor do orçamento repassado para a Câmara Municipal, sendo </w:t>
      </w:r>
      <w:proofErr w:type="gramStart"/>
      <w:r>
        <w:rPr>
          <w:sz w:val="24"/>
          <w:szCs w:val="24"/>
        </w:rPr>
        <w:t>transferido 1,5%</w:t>
      </w:r>
      <w:proofErr w:type="gramEnd"/>
      <w:r>
        <w:rPr>
          <w:sz w:val="24"/>
          <w:szCs w:val="24"/>
        </w:rPr>
        <w:t xml:space="preserve"> para a Secretaria da Agricultura e 1,5% para a Secretaria de Indústria e Comércio.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17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GILMAR LOPES DE SOUZA 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2020-03-02T00:37:00Z</cp:lastPrinted>
  <dcterms:created xsi:type="dcterms:W3CDTF">2020-08-17T22:30:00Z</dcterms:created>
  <dcterms:modified xsi:type="dcterms:W3CDTF">2020-08-17T22:36:00Z</dcterms:modified>
</cp:coreProperties>
</file>