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51/2020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7289/2020</w:t>
      </w:r>
      <w:r>
        <w:rPr>
          <w:rFonts w:eastAsia="Calibri" w:cs="Arial"/>
        </w:rPr>
        <w:tab/>
        <w:t xml:space="preserve">                             </w:t>
      </w:r>
      <w:r>
        <w:rPr>
          <w:rFonts w:eastAsia="Calibri" w:cs="Arial"/>
          <w:b/>
        </w:rPr>
        <w:t>Data:</w:t>
      </w:r>
      <w:r>
        <w:rPr>
          <w:rFonts w:eastAsia="Calibri" w:cs="Arial"/>
        </w:rPr>
        <w:t xml:space="preserve"> 10 de julho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2638/2020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Institui o Fundo Municipal para a Promoção dos Direitos da Mulher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instituir o Fundo Municipal para a Promoção dos Direitos da Mulher.</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Conforme justificativa, o Fundo Municipal para a Proteção dos Direitos da Mulher tem a finalidade de </w:t>
      </w:r>
      <w:proofErr w:type="gramStart"/>
      <w:r>
        <w:rPr>
          <w:rFonts w:eastAsia="Calibri" w:cs="Arial"/>
        </w:rPr>
        <w:t>agilizar</w:t>
      </w:r>
      <w:proofErr w:type="gramEnd"/>
      <w:r>
        <w:rPr>
          <w:rFonts w:eastAsia="Calibri" w:cs="Arial"/>
        </w:rPr>
        <w:t xml:space="preserve"> mecanismos de garantia e proteção ao direito da mulher e articular, principalmente, a igualdade de oportunidades e de direitos, de forma a assegurar à população feminina o pleno exercício de sua cidadania em um meio de total segurança e proteção.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Destaca-se que o Fundo Municipal para a Proteção dos Direitos da Mulher deve ser previsto nas peças orçamentárias.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2638,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16</w:t>
      </w:r>
      <w:bookmarkStart w:id="0" w:name="_GoBack"/>
      <w:bookmarkEnd w:id="0"/>
      <w:r>
        <w:rPr>
          <w:rFonts w:eastAsia="Calibri" w:cs="Arial"/>
        </w:rPr>
        <w:t xml:space="preserve"> de julho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D1AF2-1186-401F-82FF-DE70DA75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1399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2020-07-13T22:36:00Z</cp:lastPrinted>
  <dcterms:created xsi:type="dcterms:W3CDTF">2020-07-20T20:33:00Z</dcterms:created>
  <dcterms:modified xsi:type="dcterms:W3CDTF">2020-07-20T20:34:00Z</dcterms:modified>
</cp:coreProperties>
</file>