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36/2020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com o objetivo de sugerir ao Poder Executivo que altere o §1º do artigo 1º da Lei Municipal 1.826 de 23/07/2010, onde o mesmo passe a vigorar com a seguinte redação: </w:t>
      </w:r>
      <w:r>
        <w:rPr>
          <w:b/>
          <w:sz w:val="24"/>
          <w:szCs w:val="24"/>
        </w:rPr>
        <w:t xml:space="preserve">§1º A isenção de que trata o artigo anterior beneficiará os proprietários de imóveis residenciais cujos proventos ou pensões sejam inferiores ou iguais a 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salários mínimos,</w:t>
      </w:r>
      <w:r>
        <w:rPr>
          <w:sz w:val="24"/>
          <w:szCs w:val="24"/>
        </w:rPr>
        <w:t xml:space="preserve"> e envio para o Legislativo Municipal Projeto de Lei que altere esse parágrafo da Lei e que o mesmo passe a vigorar a partir do próximo ano.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09 de julho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Vereadora </w:t>
      </w:r>
      <w:bookmarkStart w:id="0" w:name="_GoBack"/>
      <w:bookmarkEnd w:id="0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2020-03-02T00:37:00Z</cp:lastPrinted>
  <dcterms:created xsi:type="dcterms:W3CDTF">2020-07-09T12:18:00Z</dcterms:created>
  <dcterms:modified xsi:type="dcterms:W3CDTF">2020-07-09T13:29:00Z</dcterms:modified>
</cp:coreProperties>
</file>