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47/2020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7255/2020</w:t>
      </w:r>
      <w:r>
        <w:rPr>
          <w:rFonts w:eastAsia="Calibri" w:cs="Arial"/>
        </w:rPr>
        <w:tab/>
        <w:t xml:space="preserve">                             </w:t>
      </w:r>
      <w:r>
        <w:rPr>
          <w:rFonts w:eastAsia="Calibri" w:cs="Arial"/>
          <w:b/>
        </w:rPr>
        <w:t>Data:</w:t>
      </w:r>
      <w:r>
        <w:rPr>
          <w:rFonts w:eastAsia="Calibri" w:cs="Arial"/>
        </w:rPr>
        <w:t xml:space="preserve"> 19 de junho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2631/2020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 xml:space="preserve">Dispõe sobre a alteração do art. 4° e inciso II da Lei Municipal nº 1.719, de </w:t>
      </w:r>
      <w:proofErr w:type="gramStart"/>
      <w:r>
        <w:rPr>
          <w:rFonts w:eastAsia="Calibri" w:cs="Arial"/>
          <w:bCs/>
        </w:rPr>
        <w:t>29 abril 2009</w:t>
      </w:r>
      <w:proofErr w:type="gramEnd"/>
      <w:r>
        <w:rPr>
          <w:rFonts w:eastAsia="Calibri" w:cs="Arial"/>
          <w:bCs/>
        </w:rPr>
        <w:t>, alteração do art. 11 da Lei Municipal nº 866 de 05 de janeiro 2000 e revogação da Lei Municipal nº 2.348, de 05 de dezembro de 2017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ab/>
        <w:t xml:space="preserve">Trata, a presente matéria, de Projeto de Lei de origem do Poder Executivo que tem como objetivo dispor sobre a alteração do art. 4° e inciso II da Lei Municipal nº 1.719, de </w:t>
      </w:r>
      <w:proofErr w:type="gramStart"/>
      <w:r>
        <w:rPr>
          <w:rFonts w:eastAsia="Calibri" w:cs="Arial"/>
        </w:rPr>
        <w:t>29 abril 2009</w:t>
      </w:r>
      <w:proofErr w:type="gramEnd"/>
      <w:r>
        <w:rPr>
          <w:rFonts w:eastAsia="Calibri" w:cs="Arial"/>
        </w:rPr>
        <w:t>, alteração do art. 11 da Lei Municipal nº 866 de 05 de janeiro 2000 e revogação da Lei Municipal nº 2.348, de 05 de dezembro de 2017.</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identifica-se que a matéria encontra-se prevista nas competências legisla</w:t>
      </w:r>
      <w:r>
        <w:rPr>
          <w:rFonts w:ascii="Calibri" w:eastAsia="Calibri" w:hAnsi="Calibri" w:cs="Calibri"/>
        </w:rPr>
        <w:t>ti</w:t>
      </w:r>
      <w:r>
        <w:rPr>
          <w:rFonts w:eastAsia="Calibri" w:cs="Arial"/>
        </w:rPr>
        <w:t>vas conferidas aos Municípios, conforme dispõem a Cons</w:t>
      </w:r>
      <w:r>
        <w:rPr>
          <w:rFonts w:ascii="Calibri" w:eastAsia="Calibri" w:hAnsi="Calibri" w:cs="Calibri"/>
        </w:rPr>
        <w:t>ti</w:t>
      </w:r>
      <w:r>
        <w:rPr>
          <w:rFonts w:eastAsia="Calibri" w:cs="Arial"/>
        </w:rPr>
        <w:t>tuição Federal e a Lei Orgânica Municipal quanto à autonomia deste ente federa</w:t>
      </w:r>
      <w:r>
        <w:rPr>
          <w:rFonts w:ascii="Calibri" w:eastAsia="Calibri" w:hAnsi="Calibri" w:cs="Calibri"/>
        </w:rPr>
        <w:t>ti</w:t>
      </w:r>
      <w:r>
        <w:rPr>
          <w:rFonts w:eastAsia="Calibri" w:cs="Arial"/>
        </w:rPr>
        <w:t>vo para dispor sobre matérias de interesse local.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Conforme justificativa, o Projeto visa preservar os respectivos Conselhos, o Conselho Municipal de Habitação e Saneamento e o Conselho Municipal de Defesa do Meio Ambiente – COMDEMA, de forma separada e com seus respectivos conselheiros.</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Quanto à composição do COMDEMA, na forma proposta a alteração dos representantes da sociedade civil mantém o número de membros e, portanto, a paridade com o Poder Público.</w:t>
      </w:r>
    </w:p>
    <w:p>
      <w:pPr>
        <w:tabs>
          <w:tab w:val="left" w:pos="1701"/>
          <w:tab w:val="left" w:pos="5059"/>
        </w:tabs>
        <w:spacing w:after="0" w:line="240" w:lineRule="auto"/>
        <w:ind w:firstLine="1701"/>
        <w:jc w:val="both"/>
        <w:rPr>
          <w:rFonts w:eastAsia="Calibri" w:cs="Arial"/>
        </w:rPr>
      </w:pPr>
    </w:p>
    <w:p>
      <w:pPr>
        <w:tabs>
          <w:tab w:val="left" w:pos="1701"/>
          <w:tab w:val="left" w:pos="2166"/>
        </w:tabs>
        <w:spacing w:after="0" w:line="240" w:lineRule="auto"/>
        <w:ind w:firstLine="1701"/>
        <w:jc w:val="both"/>
        <w:rPr>
          <w:rFonts w:eastAsia="Calibri" w:cs="Arial"/>
        </w:rPr>
      </w:pPr>
      <w:r>
        <w:rPr>
          <w:rFonts w:eastAsia="Calibri" w:cs="Arial"/>
        </w:rPr>
        <w:t>Conclui-se que o Projeto de Lei nº 2631, está em condições de tramitar, visto que adequada a iniciativa e acompanhado de justificativa.</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25 de junho de 2020.</w:t>
      </w:r>
    </w:p>
    <w:p>
      <w:pPr>
        <w:tabs>
          <w:tab w:val="left" w:pos="1701"/>
          <w:tab w:val="left" w:pos="5059"/>
        </w:tabs>
        <w:spacing w:after="0" w:line="240" w:lineRule="auto"/>
        <w:jc w:val="both"/>
        <w:rPr>
          <w:rFonts w:eastAsia="Calibri" w:cs="Arial"/>
        </w:rPr>
      </w:pPr>
      <w:bookmarkStart w:id="0" w:name="_GoBack"/>
      <w:bookmarkEnd w:id="0"/>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Sandro </w:t>
      </w:r>
      <w:proofErr w:type="spellStart"/>
      <w:r>
        <w:rPr>
          <w:rFonts w:eastAsia="Calibri" w:cs="Arial"/>
        </w:rPr>
        <w:t>Drum</w:t>
      </w:r>
      <w:proofErr w:type="spellEnd"/>
      <w:r>
        <w:rPr>
          <w:rFonts w:eastAsia="Calibri" w:cs="Arial"/>
        </w:rPr>
        <w:tab/>
        <w:t xml:space="preserve">Vereador Loreno </w:t>
      </w:r>
      <w:proofErr w:type="spellStart"/>
      <w:r>
        <w:rPr>
          <w:rFonts w:eastAsia="Calibri" w:cs="Arial"/>
        </w:rPr>
        <w:t>Feix</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27A58-3E4D-43A3-A2A6-10F20AB0B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1786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5</cp:revision>
  <cp:lastPrinted>2020-05-20T14:37:00Z</cp:lastPrinted>
  <dcterms:created xsi:type="dcterms:W3CDTF">2020-06-29T22:07:00Z</dcterms:created>
  <dcterms:modified xsi:type="dcterms:W3CDTF">2020-06-29T22:08:00Z</dcterms:modified>
</cp:coreProperties>
</file>