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22/2020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18, DE 29 DE JUNHO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210/2020 – </w:t>
      </w:r>
      <w:r>
        <w:rPr>
          <w:rFonts w:eastAsia="Calibri"/>
          <w:sz w:val="28"/>
          <w:szCs w:val="28"/>
          <w:lang w:eastAsia="en-US"/>
        </w:rPr>
        <w:t>ENCAMINHA PROJETOS DE LEI Nº 2634 E 2635/2020 E MENSAGEM RETIFICATIVA AO PROJETO DE LEI Nº 2629/2020.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213/2020 – </w:t>
      </w:r>
      <w:r>
        <w:rPr>
          <w:rFonts w:eastAsia="Calibri"/>
          <w:sz w:val="28"/>
          <w:szCs w:val="28"/>
          <w:lang w:eastAsia="en-US"/>
        </w:rPr>
        <w:t>SOLICITA A RETIRADA DO PROJETO DE LEI Nº 2619/2020.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2629, de 04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Mensagem Retificativa ao Projeto de Lei do Executivo nº 2629/2020.</w:t>
      </w:r>
      <w:bookmarkStart w:id="0" w:name="_GoBack"/>
      <w:bookmarkEnd w:id="0"/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2631,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DISPOE SOBRE A ALTERAÇÃO DO ART 4° E INCISO II DA LEI MUNICIPAL Nº 1.719, DE 29 ABRIL2009, ALTERAÇÃO DO ART. 11 DA LEI MUNICIPAL Nº 866 DE 05 </w:t>
      </w:r>
      <w:proofErr w:type="gramStart"/>
      <w:r>
        <w:rPr>
          <w:sz w:val="28"/>
          <w:szCs w:val="28"/>
          <w:lang w:val="pt-PT"/>
        </w:rPr>
        <w:t>DE</w:t>
      </w:r>
      <w:proofErr w:type="gramEnd"/>
      <w:r>
        <w:rPr>
          <w:sz w:val="28"/>
          <w:szCs w:val="28"/>
          <w:lang w:val="pt-PT"/>
        </w:rPr>
        <w:t xml:space="preserve"> JANEIRO 2000 E REVOGAÇÃO DA LEI MUNICIPAL Nº 2.348, DE 05 DE </w:t>
      </w:r>
      <w:proofErr w:type="gramStart"/>
      <w:r>
        <w:rPr>
          <w:sz w:val="28"/>
          <w:szCs w:val="28"/>
          <w:lang w:val="pt-PT"/>
        </w:rPr>
        <w:t>DEZEMBRO</w:t>
      </w:r>
      <w:proofErr w:type="gramEnd"/>
      <w:r>
        <w:rPr>
          <w:sz w:val="28"/>
          <w:szCs w:val="28"/>
          <w:lang w:val="pt-PT"/>
        </w:rPr>
        <w:t xml:space="preserve"> DE 2017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30/2020</w:t>
      </w:r>
      <w:r>
        <w:rPr>
          <w:rFonts w:eastAsia="Calibri"/>
          <w:sz w:val="28"/>
          <w:szCs w:val="28"/>
          <w:lang w:eastAsia="en-US"/>
        </w:rPr>
        <w:t xml:space="preserve"> – VEREADORAS JANE ELIZETE FERREIRA MARTINS DA SILVA – PDT E ISABEL DE OLIVEIRA ELIAS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31/2020</w:t>
      </w:r>
      <w:r>
        <w:rPr>
          <w:rFonts w:eastAsia="Calibri"/>
          <w:sz w:val="28"/>
          <w:szCs w:val="28"/>
          <w:lang w:eastAsia="en-US"/>
        </w:rPr>
        <w:t xml:space="preserve"> – VEREADOR JUCIMAR BORGES DA SILVEIRA – PROGRESSISTAS.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DISPÕE </w:t>
      </w:r>
      <w:proofErr w:type="gramStart"/>
      <w:r>
        <w:rPr>
          <w:sz w:val="28"/>
          <w:szCs w:val="28"/>
          <w:lang w:val="pt-PT"/>
        </w:rPr>
        <w:t>SOB INSTALAÇÕES</w:t>
      </w:r>
      <w:proofErr w:type="gramEnd"/>
      <w:r>
        <w:rPr>
          <w:sz w:val="28"/>
          <w:szCs w:val="28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2635,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DECLARA PATRIMÔNIO HISTÓRICO E ARTÍSTICO O MARCO DE PEDRA DA CONSTRUÇÃO </w:t>
      </w:r>
      <w:r>
        <w:rPr>
          <w:sz w:val="28"/>
          <w:szCs w:val="28"/>
          <w:lang w:val="pt-PT"/>
        </w:rPr>
        <w:lastRenderedPageBreak/>
        <w:t>DA BARRAGEM MAIA FILHO, COMO PARTE RELEVANTE DO PATRIMÔNIO CULTURAL DO MUNICÍPIO DE SALTO DO JACUÍ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D03F-0F89-47E6-8E73-2FD92CD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15</cp:revision>
  <cp:lastPrinted>2020-04-03T20:10:00Z</cp:lastPrinted>
  <dcterms:created xsi:type="dcterms:W3CDTF">2020-06-26T13:27:00Z</dcterms:created>
  <dcterms:modified xsi:type="dcterms:W3CDTF">2020-06-26T14:37:00Z</dcterms:modified>
</cp:coreProperties>
</file>