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17/2020</w:t>
      </w:r>
    </w:p>
    <w:p>
      <w:pPr>
        <w:pStyle w:val="SemEspaamento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Aos vinte e cinco dias do mês de maio de dois mil e vinte, às dezenove horas, reuniram-se nesta Casa Legislativa, sob a presidência da vereadora Jane Elizete Ferreira Martins da Silva,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Gilmar Lopes de Souza, Isabel de Oliveira Elias,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Loreno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A Presidente solicitou ao secretário que fizesse a leitura de um texto bíblico que em pé foi ouvido. Posteriormente o secretário fez a leitura da Ata nº 16/2020 que foi posta em discussão, votação e aprovada por unanimidade. O secretário fez a leitura dos Requerimentos para uso da Tribuna Popular. A Presidente abriu espaço para Tribuna, ocasião em que Alice </w:t>
      </w:r>
      <w:proofErr w:type="spellStart"/>
      <w:r>
        <w:rPr>
          <w:sz w:val="26"/>
          <w:szCs w:val="26"/>
        </w:rPr>
        <w:t>Landvoigt</w:t>
      </w:r>
      <w:proofErr w:type="spellEnd"/>
      <w:r>
        <w:rPr>
          <w:sz w:val="26"/>
          <w:szCs w:val="26"/>
        </w:rPr>
        <w:t xml:space="preserve"> de Freitas e </w:t>
      </w:r>
      <w:proofErr w:type="spellStart"/>
      <w:r>
        <w:rPr>
          <w:sz w:val="26"/>
          <w:szCs w:val="26"/>
        </w:rPr>
        <w:t>Gleomara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Lermen</w:t>
      </w:r>
      <w:proofErr w:type="spellEnd"/>
      <w:r>
        <w:rPr>
          <w:sz w:val="26"/>
          <w:szCs w:val="26"/>
        </w:rPr>
        <w:t xml:space="preserve"> de Camargo </w:t>
      </w:r>
      <w:proofErr w:type="gramStart"/>
      <w:r>
        <w:rPr>
          <w:sz w:val="26"/>
          <w:szCs w:val="26"/>
        </w:rPr>
        <w:t>falaram</w:t>
      </w:r>
      <w:proofErr w:type="gramEnd"/>
      <w:r>
        <w:rPr>
          <w:sz w:val="26"/>
          <w:szCs w:val="26"/>
        </w:rPr>
        <w:t xml:space="preserve"> sobre o Projeto das Práticas Integrativas e Complementares. Posteriormente, o secretário fez a leitura do Ofício nº 009/2020 – Caixa Econômica Federal - Agência Salto do Jacuí/RS, do Ofício do Poder Executivo nº 178/2020 – Encaminha Projeto de Lei nº 2627/2020, e do Ofício do Poder Executivo nº 181/2020 – Encaminha Mensagem Retificativa ao Projeto de Lei nº 2617/2020. Projeto de Lei do Executivo nº 2617, de 15 de abril de 2020 – Extingue cargo em comissão e dá outras providências, que veio com parecer favorável das duas Comissões. O secretário fez a leitura da Mensagem Retificativa ao Projeto de Lei. Posteriormente a Presidente colocou em discussão o Projeto de Lei do Executivo nº 2617/2020, com a respectiva Mensagem Retificativa, foi posto em votação e aprovado por unanimidade. O secretário fez a leitura do Projeto de Lei do Executivo nº 2623, de 14 de maio de 2020 – Autoriza o Poder Executivo Municipal a realizar a abertura de crédito especial no valor de R$ 6.000,00 (seis mil reais) e dá outras providências, que veio com parecer favorável das duas Comissões, foi posto em discussão, votação e aprovado por unanimidade. O secretário fez a leitura da Indicação nº 20/2020 – </w:t>
      </w:r>
      <w:r>
        <w:rPr>
          <w:sz w:val="26"/>
          <w:szCs w:val="26"/>
        </w:rPr>
        <w:lastRenderedPageBreak/>
        <w:t xml:space="preserve">Vereador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 – Progressistas - Sugere ao Poder Executivo que efetue a readequação dos valores cobrados a título de IPTU dos terrenos baldios, haja vista que os valores estão excessivamente onerosos para o contribuinte. O vereador defendeu sua Indicação. O secretário fez a leitura do Pedido de Informações nº 5/2020 – Vereador Gilmar Lopes de Souza – MDB - Com relação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obra de asfaltamento na Avenida Pio XII, solicita: Por qual motivo o cordão do passeio público não foi reposto antes da colocação da massa asfáltica, conforme fotos em anexo. O Pedido de Informações foi posto em discussão, votação e aprovado por unanimidade. O secretário fez a leitura da Proposta de Moção de Apoio nº 3/2020 – Proponente vereadora Jane Elizete Ferreira Martins da Silva – PDT - Para que a Prefeitura Municipal de Salto do Jacuí, através de suas Secretarias e demais órgãos, bem como a Associação Comercial e Industrial de Serviços de Salto do Jacuí, venham a aderir a Campanha Valorize o Comércio Local, possibilitando assim as grandes e pequenas empresas a manter-se em meio </w:t>
      </w: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 crise que assola o país a qual é uma preocupação de todos, pois vê-se, diariamente em diversos municípios comércios fechando, empresas de todos os portes passando por dificuldades em vendas. Sabe-se que incentivando e apoiando o Comércio Local não ocorrerão demissões e as pessoas não perderão o poder de compra, fazendo com que o capital gire e fique dentro do Município. A Proposta de Moção de Apoio foi posta em discussão, votação e aprovada por unanimidade. A Presidente reforçou o convite para a </w:t>
      </w:r>
      <w:r>
        <w:rPr>
          <w:bCs/>
          <w:sz w:val="26"/>
          <w:szCs w:val="26"/>
        </w:rPr>
        <w:t xml:space="preserve">Audiência Pública das Metas Fiscais, que acontecerá na Câmara Municipal no dia 28 de maio. Estão baixados nas Comissões: </w:t>
      </w:r>
      <w:r>
        <w:rPr>
          <w:rFonts w:eastAsia="Calibri"/>
          <w:sz w:val="26"/>
          <w:szCs w:val="26"/>
        </w:rPr>
        <w:t>Projeto de Lei do Executivo nº 2616, de 26 de março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Altera os </w:t>
      </w:r>
      <w:proofErr w:type="spellStart"/>
      <w:r>
        <w:rPr>
          <w:bCs/>
          <w:sz w:val="26"/>
          <w:szCs w:val="26"/>
        </w:rPr>
        <w:t>arts</w:t>
      </w:r>
      <w:proofErr w:type="spellEnd"/>
      <w:r>
        <w:rPr>
          <w:bCs/>
          <w:sz w:val="26"/>
          <w:szCs w:val="26"/>
        </w:rPr>
        <w:t xml:space="preserve">. 13 e 24 da Lei Municipal 1.388/2005 visando </w:t>
      </w:r>
      <w:proofErr w:type="gramStart"/>
      <w:r>
        <w:rPr>
          <w:bCs/>
          <w:sz w:val="26"/>
          <w:szCs w:val="26"/>
        </w:rPr>
        <w:t>a</w:t>
      </w:r>
      <w:proofErr w:type="gramEnd"/>
      <w:r>
        <w:rPr>
          <w:bCs/>
          <w:sz w:val="26"/>
          <w:szCs w:val="26"/>
        </w:rPr>
        <w:t xml:space="preserve"> consolidação da legislação previdenciária com base na Emenda Constitucional 103/2019 e dá outras providências; </w:t>
      </w:r>
      <w:r>
        <w:rPr>
          <w:rFonts w:eastAsia="Calibri"/>
          <w:sz w:val="26"/>
          <w:szCs w:val="26"/>
        </w:rPr>
        <w:t>Projeto de Lei do Executivo nº 2619, de 24 de abril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Dispõe sob o parcelamento </w:t>
      </w:r>
      <w:r>
        <w:rPr>
          <w:bCs/>
          <w:sz w:val="26"/>
          <w:szCs w:val="26"/>
        </w:rPr>
        <w:lastRenderedPageBreak/>
        <w:t xml:space="preserve">do solo urbano e dá outras providências; </w:t>
      </w:r>
      <w:r>
        <w:rPr>
          <w:rFonts w:eastAsia="Calibri"/>
          <w:sz w:val="26"/>
          <w:szCs w:val="26"/>
        </w:rPr>
        <w:t>Projeto de Lei do Executivo nº 2622,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Cria a Coordenadoria Municipal da Mulher, com cargo em comissão de coordenadora, Fundo Municipal de Direitos da Mulher, Conselho Municipal de Direitos da Mulher e dá outras providências; e </w:t>
      </w:r>
      <w:r>
        <w:rPr>
          <w:rFonts w:eastAsia="Calibri"/>
          <w:sz w:val="26"/>
          <w:szCs w:val="26"/>
        </w:rPr>
        <w:t>Projeto de Lei do Executivo nº 2624, de 14 de maio de 2020</w:t>
      </w:r>
      <w:r>
        <w:rPr>
          <w:sz w:val="26"/>
          <w:szCs w:val="26"/>
          <w:lang w:val="pt-PT"/>
        </w:rPr>
        <w:t xml:space="preserve"> –</w:t>
      </w:r>
      <w:r>
        <w:rPr>
          <w:b/>
          <w:sz w:val="26"/>
          <w:szCs w:val="26"/>
          <w:lang w:val="pt-PT"/>
        </w:rPr>
        <w:t xml:space="preserve"> </w:t>
      </w:r>
      <w:r>
        <w:rPr>
          <w:bCs/>
          <w:sz w:val="26"/>
          <w:szCs w:val="26"/>
        </w:rPr>
        <w:t xml:space="preserve">Autoriza a contratação emergencial temporária, na forma do artigo 37, IX da Constituição Federal e artigo 76 da Lei Orgânica Municipal e dá outras providências. Está baixando nas Comissões: Projeto de Lei do Executivo nº 2627, de 21 de maio de 2020 – Cria o Programa Municipal de Práticas Integrativas e Complementares e de Educação Popular em Saúde (PMPICEPS) no âmbito do município de Salto do Jacuí e dá outras providências. Na Tribuna Parlamentar o vereador Teodoro Jair falou sobre o projeto das PICS, apresentado na Tribuna Popular, falou sobre o COVID 19, bem como sobre do incentivo de compras no comércio local. O vereador </w:t>
      </w:r>
      <w:proofErr w:type="spellStart"/>
      <w:r>
        <w:rPr>
          <w:bCs/>
          <w:sz w:val="26"/>
          <w:szCs w:val="26"/>
        </w:rPr>
        <w:t>Gelso</w:t>
      </w:r>
      <w:proofErr w:type="spellEnd"/>
      <w:r>
        <w:rPr>
          <w:bCs/>
          <w:sz w:val="26"/>
          <w:szCs w:val="26"/>
        </w:rPr>
        <w:t xml:space="preserve"> parabenizou as terapeutas que apresentaram o projeto das PICS na Tribuna Popular e disse </w:t>
      </w:r>
      <w:proofErr w:type="gramStart"/>
      <w:r>
        <w:rPr>
          <w:bCs/>
          <w:sz w:val="26"/>
          <w:szCs w:val="26"/>
        </w:rPr>
        <w:t>utiliza dos</w:t>
      </w:r>
      <w:proofErr w:type="gramEnd"/>
      <w:r>
        <w:rPr>
          <w:bCs/>
          <w:sz w:val="26"/>
          <w:szCs w:val="26"/>
        </w:rPr>
        <w:t xml:space="preserve"> meios terapêuticos para sua saúde. O vereador José Sérgio também parabenizou as terapeutas pelo uso da Tribuna Popular, falou sobre a difícil situação da agricultura e, caso não venha auxílio do Estado, o Município vai de alguma forma auxiliar os agricultores. A vereadora Jane falou sobre o projeto das PICS, comentou que o projeto iria partir do Legislativo, mas não pode devido a ser ano eleitoral, elogiou o Secretário de Obras pelo trabalho realizado e, por fim, falou sobre a importância de apoiarmos o comercio do nosso Município. </w:t>
      </w:r>
      <w:bookmarkStart w:id="0" w:name="_GoBack"/>
      <w:bookmarkEnd w:id="0"/>
      <w:r>
        <w:rPr>
          <w:bCs/>
          <w:sz w:val="26"/>
          <w:szCs w:val="26"/>
        </w:rPr>
        <w:t>Nada mais havendo a se tratar, às vinte horas e cinquenta minutos, a Presidente encerrou os trabalhos e vai a presente Ata lavrada e assinada por quem de direito:</w:t>
      </w:r>
    </w:p>
    <w:sectPr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2B3AD-775C-4715-93F6-1043D7EF0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17</cp:revision>
  <cp:lastPrinted>2020-05-20T14:13:00Z</cp:lastPrinted>
  <dcterms:created xsi:type="dcterms:W3CDTF">2020-05-28T20:59:00Z</dcterms:created>
  <dcterms:modified xsi:type="dcterms:W3CDTF">2020-05-29T14:18:00Z</dcterms:modified>
</cp:coreProperties>
</file>