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42/2020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7214/2020</w:t>
      </w:r>
      <w:r>
        <w:rPr>
          <w:rFonts w:eastAsia="Calibri" w:cs="Arial"/>
        </w:rPr>
        <w:tab/>
        <w:t xml:space="preserve">                             </w:t>
      </w:r>
      <w:r>
        <w:rPr>
          <w:rFonts w:eastAsia="Calibri" w:cs="Arial"/>
          <w:b/>
        </w:rPr>
        <w:t>Data:</w:t>
      </w:r>
      <w:r>
        <w:rPr>
          <w:rFonts w:eastAsia="Calibri" w:cs="Arial"/>
        </w:rPr>
        <w:t xml:space="preserve"> 28 de maio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2626</w:t>
      </w:r>
      <w:bookmarkStart w:id="0" w:name="_GoBack"/>
      <w:bookmarkEnd w:id="0"/>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Altera o artigo 194 da Lei Municipal 270/1990 visando </w:t>
      </w:r>
      <w:proofErr w:type="gramStart"/>
      <w:r>
        <w:rPr>
          <w:rFonts w:eastAsia="Calibri" w:cs="Arial"/>
          <w:bCs/>
        </w:rPr>
        <w:t>a</w:t>
      </w:r>
      <w:proofErr w:type="gramEnd"/>
      <w:r>
        <w:rPr>
          <w:rFonts w:eastAsia="Calibri" w:cs="Arial"/>
          <w:bCs/>
        </w:rPr>
        <w:t xml:space="preserve"> consolidação da legislação previdenciária com base na Emenda Constitucional 103/2019.</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como objetivo alterar o artigo 194 da Lei Municipal 270/1990 visando </w:t>
      </w:r>
      <w:proofErr w:type="gramStart"/>
      <w:r>
        <w:rPr>
          <w:rFonts w:eastAsia="Calibri" w:cs="Arial"/>
        </w:rPr>
        <w:t>a</w:t>
      </w:r>
      <w:proofErr w:type="gramEnd"/>
      <w:r>
        <w:rPr>
          <w:rFonts w:eastAsia="Calibri" w:cs="Arial"/>
        </w:rPr>
        <w:t xml:space="preserve"> consolidação </w:t>
      </w:r>
      <w:proofErr w:type="gramStart"/>
      <w:r>
        <w:rPr>
          <w:rFonts w:eastAsia="Calibri" w:cs="Arial"/>
        </w:rPr>
        <w:t>da</w:t>
      </w:r>
      <w:proofErr w:type="gramEnd"/>
      <w:r>
        <w:rPr>
          <w:rFonts w:eastAsia="Calibri" w:cs="Arial"/>
        </w:rPr>
        <w:t xml:space="preserve"> legislação previdenciária com base na Emenda Constitucional 103/2019.</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do ponto de vista formal, o projeto de lei em análise encontra-se adequado, vez que de iniciativa do Prefeito, agente competente para iniciar projetos de leis que versem sobre o Regime Jurídico dos Servidores, em consonância com os ditames do art. 32, II da LOM.</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o Projeto objetiva </w:t>
      </w:r>
      <w:proofErr w:type="gramStart"/>
      <w:r>
        <w:rPr>
          <w:rFonts w:eastAsia="Calibri" w:cs="Arial"/>
        </w:rPr>
        <w:t>implementar</w:t>
      </w:r>
      <w:proofErr w:type="gramEnd"/>
      <w:r>
        <w:rPr>
          <w:rFonts w:eastAsia="Calibri" w:cs="Arial"/>
        </w:rPr>
        <w:t xml:space="preserve"> as alterações impostas pelo conteúdo da Emenda Constitucional 103/2019 na Lei Municipal n. 1388/05, Regime Próprio de Previdência Social dos Servidores Efetivos.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Poder Executivo encaminhou Mensagem Retificativa promovendo adequações no Projeto de Lei.</w:t>
      </w:r>
    </w:p>
    <w:p>
      <w:pPr>
        <w:tabs>
          <w:tab w:val="left" w:pos="1701"/>
          <w:tab w:val="left" w:pos="2166"/>
        </w:tabs>
        <w:spacing w:after="0" w:line="240" w:lineRule="auto"/>
        <w:ind w:firstLine="1701"/>
        <w:jc w:val="both"/>
        <w:rPr>
          <w:rFonts w:eastAsia="Calibri" w:cs="Arial"/>
        </w:rPr>
      </w:pPr>
      <w:r>
        <w:rPr>
          <w:rFonts w:eastAsia="Calibri" w:cs="Arial"/>
        </w:rPr>
        <w:tab/>
      </w:r>
    </w:p>
    <w:p>
      <w:pPr>
        <w:tabs>
          <w:tab w:val="left" w:pos="1701"/>
          <w:tab w:val="left" w:pos="2166"/>
        </w:tabs>
        <w:spacing w:after="0" w:line="240" w:lineRule="auto"/>
        <w:ind w:firstLine="1701"/>
        <w:jc w:val="both"/>
        <w:rPr>
          <w:rFonts w:eastAsia="Calibri" w:cs="Arial"/>
        </w:rPr>
      </w:pPr>
      <w:r>
        <w:rPr>
          <w:rFonts w:eastAsia="Calibri" w:cs="Arial"/>
        </w:rPr>
        <w:t>Conclui-se que o Projeto de Lei nº 2626, 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junho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2BE3B-5ABB-42D8-8AA4-4BDED223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2020-05-20T14:37:00Z</cp:lastPrinted>
  <dcterms:created xsi:type="dcterms:W3CDTF">2020-06-15T22:15:00Z</dcterms:created>
  <dcterms:modified xsi:type="dcterms:W3CDTF">2020-06-15T22:44:00Z</dcterms:modified>
</cp:coreProperties>
</file>