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44/2020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7215/2020</w:t>
      </w:r>
      <w:r>
        <w:rPr>
          <w:rFonts w:eastAsia="Calibri" w:cs="Arial"/>
        </w:rPr>
        <w:tab/>
        <w:t xml:space="preserve">                             </w:t>
      </w:r>
      <w:r>
        <w:rPr>
          <w:rFonts w:eastAsia="Calibri" w:cs="Arial"/>
          <w:b/>
        </w:rPr>
        <w:t>Data:</w:t>
      </w:r>
      <w:r>
        <w:rPr>
          <w:rFonts w:eastAsia="Calibri" w:cs="Arial"/>
        </w:rPr>
        <w:t xml:space="preserve"> 28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o Poder Executivo municipal a realizar a abertura de crédito especial no valor de R$ 125.000,00 (cento e vinte e cinco mil reais) e dá outras providências.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28 de maio de 2020 e tem como objetivo </w:t>
      </w:r>
      <w:r>
        <w:rPr>
          <w:rFonts w:eastAsia="Calibri" w:cs="Arial"/>
          <w:bCs/>
        </w:rPr>
        <w:t>autoriza o Poder Executivo municipal a realizar a abertura de crédito especial no valor de R$ 125.000,00 (cento e vinte e cinco mil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Município estará recebendo do Ministério da Saúde, através do Programa Academia de Saúde, proposta nº 12193.806001/18-013, o valor de R$ 125.000,00 (Cento e vinte e cinco mil reais) para a construção de uma academia de saúde.</w:t>
      </w:r>
    </w:p>
    <w:p>
      <w:pPr>
        <w:tabs>
          <w:tab w:val="left" w:pos="1701"/>
          <w:tab w:val="left" w:pos="2166"/>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2628,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2020-06-15T22:15:00Z</cp:lastPrinted>
  <dcterms:created xsi:type="dcterms:W3CDTF">2020-06-15T22:26:00Z</dcterms:created>
  <dcterms:modified xsi:type="dcterms:W3CDTF">2020-06-15T22:29:00Z</dcterms:modified>
</cp:coreProperties>
</file>