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38/2020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7193/2020</w:t>
      </w:r>
      <w:r>
        <w:rPr>
          <w:rFonts w:eastAsia="Calibri" w:cs="Arial"/>
        </w:rPr>
        <w:tab/>
        <w:t xml:space="preserve">                             </w:t>
      </w:r>
      <w:r>
        <w:rPr>
          <w:rFonts w:eastAsia="Calibri" w:cs="Arial"/>
          <w:b/>
        </w:rPr>
        <w:t>Data:</w:t>
      </w:r>
      <w:r>
        <w:rPr>
          <w:rFonts w:eastAsia="Calibri" w:cs="Arial"/>
        </w:rPr>
        <w:t xml:space="preserve"> 15 de maio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R$ 6.000,00 (seis mil reais)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15 de maio de 2020 e tem como objetivo </w:t>
      </w:r>
      <w:r>
        <w:rPr>
          <w:rFonts w:eastAsia="Calibri" w:cs="Arial"/>
          <w:bCs/>
        </w:rPr>
        <w:t>autorizar o Poder Executivo Municipal a realizar a abertura de crédito especial no valor de R$ 6.000,00 (seis mil reais).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é necessário para a correta classificação contábil e orçamentária, pois, com o advento da Emenda Constitucional Federal nº 103, de 12 de novembro de 2019, passa a ser o ente federativo o responsável direto pelos pagamentos do auxílio-doença (ou licença para tratamento de saúde), salário-maternidade (ou licença-maternidade), salário-família e auxílio- reclusão. O rol de benefícios dos regimes próprios de previdência social fica limitado às aposentadorias e à pensão por morte.</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2623,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 de maio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2020-02-03T11:48:00Z</cp:lastPrinted>
  <dcterms:created xsi:type="dcterms:W3CDTF">2020-05-25T21:13:00Z</dcterms:created>
  <dcterms:modified xsi:type="dcterms:W3CDTF">2020-05-25T21:21:00Z</dcterms:modified>
</cp:coreProperties>
</file>