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16/2020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12, DE 21 DE MAIO DE 2020.</w:t>
      </w: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2621, de 24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2621/2020.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2616, de 26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ALTERA OS ARTS. 13 E 24 DA LEI MUNICIPAL 1.388/2005 VISANDO A CONSOLIDAÇÃO DA LEGISLAÇÃO PREVIDENCIÁRIA COM BASE NA EMENDA CONSTITUCIONAL 103/2019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2617, de 15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EXTINGUE CARGO EM COMISSÃO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2619, de 24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 O PARCELAMENTO DO SOLO URBANO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lastRenderedPageBreak/>
        <w:t>Projeto de Lei do Executivo nº 2622, de 14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CRIA A COORDENADORIA MUNICIPAL DA MULHER, COM CARGO EM COMISSÃO DE COORDENADORA, FUNDO MUNICIPAL DE DIREITOS DA MULHER, CONSELHO MUNICIPAL DE DIREITOS DA MULHER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2623, de 14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A ABERTURA DE CRÉDITO ESPECIAL NO VALOR DE R$ 6.000,00 (SEIS MIL REAIS)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2624, de 14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A CONTRATAÇÃO EMERGENCIAL TEMPORÁRIA, NA FORMA DO ARTIGO 37, IX DA CONSTITUIÇÃO FEDERAL E ARTIGO 76 DA LEI ORGÂNICA MUNICIPAL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B54AC-6B2A-46A0-820C-E47D7093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11</cp:revision>
  <cp:lastPrinted>2020-04-03T20:10:00Z</cp:lastPrinted>
  <dcterms:created xsi:type="dcterms:W3CDTF">2020-05-15T12:44:00Z</dcterms:created>
  <dcterms:modified xsi:type="dcterms:W3CDTF">2020-05-19T21:28:00Z</dcterms:modified>
</cp:coreProperties>
</file>