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16/2020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vinte e um dias do mês de maio de dois mil e vinte, às dezenove horas e dez minutos, reuniram-se nesta Casa Legislativa, sob a presidência da vereadora Jane Elizete Ferreira Martins da Silva,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A Presidente solicitou ao secretário que fizesse a leitura de um texto bíblico que em pé foi ouvido. Posteriormente o secretário fez a leitura da Ata nº 15/2020 que foi posta em discussão, votação e aprovada por unanimidade. O secretário fez a leitura do Ofício do Poder Legislativo nº 77/2020 - Reunião e uso da Tribuna Popular para </w:t>
      </w:r>
      <w:proofErr w:type="gramStart"/>
      <w:r>
        <w:rPr>
          <w:sz w:val="26"/>
          <w:szCs w:val="26"/>
        </w:rPr>
        <w:t>dirimir dúvidas</w:t>
      </w:r>
      <w:proofErr w:type="gramEnd"/>
      <w:r>
        <w:rPr>
          <w:sz w:val="26"/>
          <w:szCs w:val="26"/>
        </w:rPr>
        <w:t xml:space="preserve"> correlatas ao trabalho de prevenção do Covid-19 aos Edis e comunidade. A presidente abriu espaço para a Tribuna Popular, ocasião em que a Secretária Municipal de Saúde Sra. Luciana Lima da Silva, a Enfermeira Sra. Aline Mello de Mello e a Analista Clínica Sra. Gisele de Oliveira </w:t>
      </w:r>
      <w:proofErr w:type="spellStart"/>
      <w:r>
        <w:rPr>
          <w:sz w:val="26"/>
          <w:szCs w:val="26"/>
        </w:rPr>
        <w:t>Seibel</w:t>
      </w:r>
      <w:proofErr w:type="spellEnd"/>
      <w:r>
        <w:rPr>
          <w:sz w:val="26"/>
          <w:szCs w:val="26"/>
        </w:rPr>
        <w:t xml:space="preserve">, profissionais estas que estão à frente na prevenção ao combate do Covid-19 em nosso município, prestaram diversas explicações e informações detalhadas sobre os testes rápidos e os via LACEN, quanto às prevenções realizadas, os monitoramentos e casos hospitalizados, todas as formas de protocolos realizados. Prestaram esclarecimentos pontuais aos vereadores a fim de </w:t>
      </w:r>
      <w:proofErr w:type="gramStart"/>
      <w:r>
        <w:rPr>
          <w:sz w:val="26"/>
          <w:szCs w:val="26"/>
        </w:rPr>
        <w:t>dirimir dúvidas</w:t>
      </w:r>
      <w:proofErr w:type="gramEnd"/>
      <w:r>
        <w:rPr>
          <w:sz w:val="26"/>
          <w:szCs w:val="26"/>
        </w:rPr>
        <w:t xml:space="preserve"> relacionadas ao Covid-19 no município. Projeto de Lei do Executivo nº 2621, de 24 de abril de 2020 – Autoriza o Poder Executivo Municipal a realizar processo seletivo simplificado e contratar por tempo determinado, por excepcional interesse público, nos termos do art. 37, IX da Constituição Federal e art. 76 da Lei Orgânica Municipal e dá outras providências, que veio com parecer favorável das duas Comissões. O secretário fez a leitura da Mensagem Retificativa e da Emenda Modificativa ao Projeto de Lei. Posteriormente a Presidente colocou em discussão o Projeto de Lei do </w:t>
      </w:r>
      <w:r>
        <w:rPr>
          <w:sz w:val="26"/>
          <w:szCs w:val="26"/>
        </w:rPr>
        <w:lastRenderedPageBreak/>
        <w:t xml:space="preserve">Executivo nº 2621/2020, com </w:t>
      </w:r>
      <w:proofErr w:type="gramStart"/>
      <w:r>
        <w:rPr>
          <w:sz w:val="26"/>
          <w:szCs w:val="26"/>
        </w:rPr>
        <w:t>as respectivas Mensagem</w:t>
      </w:r>
      <w:proofErr w:type="gramEnd"/>
      <w:r>
        <w:rPr>
          <w:sz w:val="26"/>
          <w:szCs w:val="26"/>
        </w:rPr>
        <w:t xml:space="preserve"> Retificativa e Emenda Modificativa, que foi posto em votação e aprovado por unanimidade. </w:t>
      </w:r>
      <w:r>
        <w:rPr>
          <w:bCs/>
          <w:sz w:val="26"/>
          <w:szCs w:val="26"/>
        </w:rPr>
        <w:t xml:space="preserve">Estão baixados nas Comissões: </w:t>
      </w:r>
      <w:r>
        <w:rPr>
          <w:rFonts w:eastAsia="Calibri"/>
          <w:sz w:val="26"/>
          <w:szCs w:val="26"/>
        </w:rPr>
        <w:t>Projeto de Lei do Executivo nº 2616, de 26 de março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Altera os </w:t>
      </w:r>
      <w:proofErr w:type="spellStart"/>
      <w:r>
        <w:rPr>
          <w:bCs/>
          <w:sz w:val="26"/>
          <w:szCs w:val="26"/>
        </w:rPr>
        <w:t>arts</w:t>
      </w:r>
      <w:proofErr w:type="spellEnd"/>
      <w:r>
        <w:rPr>
          <w:bCs/>
          <w:sz w:val="26"/>
          <w:szCs w:val="26"/>
        </w:rPr>
        <w:t xml:space="preserve">. 13 e 24 da Lei Municipal 1.388/2005 visando </w:t>
      </w:r>
      <w:proofErr w:type="gramStart"/>
      <w:r>
        <w:rPr>
          <w:bCs/>
          <w:sz w:val="26"/>
          <w:szCs w:val="26"/>
        </w:rPr>
        <w:t>a</w:t>
      </w:r>
      <w:proofErr w:type="gramEnd"/>
      <w:r>
        <w:rPr>
          <w:bCs/>
          <w:sz w:val="26"/>
          <w:szCs w:val="26"/>
        </w:rPr>
        <w:t xml:space="preserve"> consolidação da legislação previdenciária com base na Emenda Constitucional 103/2019 e dá outras providências; </w:t>
      </w:r>
      <w:r>
        <w:rPr>
          <w:rFonts w:eastAsia="Calibri"/>
          <w:sz w:val="26"/>
          <w:szCs w:val="26"/>
        </w:rPr>
        <w:t>Projeto de Lei do Executivo nº 2617, de 15 de abril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Extingue cargo em comissão e dá outras providências; </w:t>
      </w:r>
      <w:r>
        <w:rPr>
          <w:rFonts w:eastAsia="Calibri"/>
          <w:sz w:val="26"/>
          <w:szCs w:val="26"/>
        </w:rPr>
        <w:t>Projeto de Lei do Executivo nº 2619, de 24 de abril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Dispõe sob o parcelamento do solo urbano e dá outras providências; </w:t>
      </w:r>
      <w:r>
        <w:rPr>
          <w:rFonts w:eastAsia="Calibri"/>
          <w:sz w:val="26"/>
          <w:szCs w:val="26"/>
        </w:rPr>
        <w:t>Projeto de Lei do Executivo nº 2622, de 14 de maio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Cria a Coordenadoria Municipal da Mulher, com cargo em comissão de coordenadora, Fundo Municipal de Direitos da Mulher, Conselho Municipal de Direitos da Mulher e dá outras providências; </w:t>
      </w:r>
      <w:r>
        <w:rPr>
          <w:rFonts w:eastAsia="Calibri"/>
          <w:sz w:val="26"/>
          <w:szCs w:val="26"/>
        </w:rPr>
        <w:t>Projeto de Lei do Executivo nº 2623, de 14 de maio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Autoriza o Poder Executivo Municipal a realizar a abertura de crédito especial no valor de R$ 6.000,00 (seis mil reais) e dá outras providências; e </w:t>
      </w:r>
      <w:r>
        <w:rPr>
          <w:rFonts w:eastAsia="Calibri"/>
          <w:sz w:val="26"/>
          <w:szCs w:val="26"/>
        </w:rPr>
        <w:t>Projeto de Lei do Executivo nº 2624, de 14 de maio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>Autoriza a contratação emergencial temporária, na forma do artigo 37, IX da Constituição Federal e artigo 76 da Lei Orgânica Municipal e dá outras providências. A P</w:t>
      </w:r>
      <w:bookmarkStart w:id="0" w:name="_GoBack"/>
      <w:bookmarkEnd w:id="0"/>
      <w:r>
        <w:rPr>
          <w:bCs/>
          <w:sz w:val="26"/>
          <w:szCs w:val="26"/>
        </w:rPr>
        <w:t xml:space="preserve">residente convidou os vereadores e a população para Audiência Pública das Metas Fiscais, que acontecerá na Câmara Municipal no dia 28 de maio. Na Tribuna Parlamentar o vereador José Sérgio parabenizou o Secretário de Obras pelo trabalho realizado no interior do município, especialmente em Rincão do Ivaí, falou da necessidade de prevenção e cuidado com o </w:t>
      </w:r>
      <w:proofErr w:type="spellStart"/>
      <w:r>
        <w:rPr>
          <w:bCs/>
          <w:sz w:val="26"/>
          <w:szCs w:val="26"/>
        </w:rPr>
        <w:t>coronavírus</w:t>
      </w:r>
      <w:proofErr w:type="spellEnd"/>
      <w:r>
        <w:rPr>
          <w:bCs/>
          <w:sz w:val="26"/>
          <w:szCs w:val="26"/>
        </w:rPr>
        <w:t xml:space="preserve"> e comentou sobre o trabalho dos profissionais da saúde. Nada mais havendo a se tratar, às vinte horas e quarenta e cinco minutos, a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7838C-160A-4B4A-BB96-021C841B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9</cp:revision>
  <cp:lastPrinted>2020-05-20T14:13:00Z</cp:lastPrinted>
  <dcterms:created xsi:type="dcterms:W3CDTF">2020-05-22T13:22:00Z</dcterms:created>
  <dcterms:modified xsi:type="dcterms:W3CDTF">2020-05-22T14:05:00Z</dcterms:modified>
</cp:coreProperties>
</file>