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7176/2020</w:t>
      </w:r>
      <w:r>
        <w:rPr>
          <w:rFonts w:eastAsia="Calibri" w:cs="Arial"/>
        </w:rPr>
        <w:tab/>
        <w:t xml:space="preserve">                             </w:t>
      </w:r>
      <w:r>
        <w:rPr>
          <w:rFonts w:eastAsia="Calibri" w:cs="Arial"/>
          <w:b/>
        </w:rPr>
        <w:t>Data:</w:t>
      </w:r>
      <w:r>
        <w:rPr>
          <w:rFonts w:eastAsia="Calibri" w:cs="Arial"/>
        </w:rPr>
        <w:t xml:space="preserve"> 29 de abril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2620</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o Poder Executivo Municipal a realizar a abertura de crédito adicional suplementar no valor de R$ 43.120,00 (quarenta e três mil cento e vinte reais) no orçamento vigente.</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realizar a abertura de crédito suplementar no valor de R$ 43.120,00 (quarenta e três mil cento e vinte reais) no orçamento vigente.</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foi encaminhado para correta classificação contábil e orçamentária.</w:t>
      </w:r>
    </w:p>
    <w:p>
      <w:pPr>
        <w:tabs>
          <w:tab w:val="left" w:pos="1701"/>
          <w:tab w:val="left" w:pos="5059"/>
        </w:tabs>
        <w:spacing w:after="0" w:line="240" w:lineRule="auto"/>
        <w:ind w:firstLine="1701"/>
        <w:jc w:val="both"/>
      </w:pPr>
    </w:p>
    <w:p>
      <w:pPr>
        <w:tabs>
          <w:tab w:val="left" w:pos="1701"/>
          <w:tab w:val="left" w:pos="5059"/>
        </w:tabs>
        <w:spacing w:after="0" w:line="240" w:lineRule="auto"/>
        <w:ind w:firstLine="1701"/>
        <w:jc w:val="both"/>
      </w:pPr>
      <w:r>
        <w:t>O Projeto de Lei compreende os requisitos necessários para a abertura de crédito adicional suplementar, sob o respaldo do art. 41, inciso I, e do art. 43, § 1º, inciso III, da Lei no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2620,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07 de maio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C543-A331-4588-9BF6-5CD75BD5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2020-02-03T11:26:00Z</cp:lastPrinted>
  <dcterms:created xsi:type="dcterms:W3CDTF">2020-05-15T12:18:00Z</dcterms:created>
  <dcterms:modified xsi:type="dcterms:W3CDTF">2020-05-15T12:42:00Z</dcterms:modified>
</cp:coreProperties>
</file>