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34/2020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7169/2020</w:t>
      </w:r>
      <w:r>
        <w:rPr>
          <w:rFonts w:eastAsia="Calibri" w:cs="Arial"/>
        </w:rPr>
        <w:tab/>
        <w:t xml:space="preserve">                             </w:t>
      </w:r>
      <w:r>
        <w:rPr>
          <w:rFonts w:eastAsia="Calibri" w:cs="Arial"/>
          <w:b/>
        </w:rPr>
        <w:t>Data:</w:t>
      </w:r>
      <w:r>
        <w:rPr>
          <w:rFonts w:eastAsia="Calibri" w:cs="Arial"/>
        </w:rPr>
        <w:t xml:space="preserve"> 24 de abril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2618/2020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autorizar o Poder Executivo Municipal à contratação emergencial temporária, por tempo determinado, na forma do artigo 37, IX da Constituição Federal e artigo 76 da Lei Orgânica Municipal.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Primeiramente, a iniciativa legislativa do projeto está correta, atendendo os incisos I, III, VII e XI do art. 54 da Lei Orgânica Municipal.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No caso concreto, a proposição visa à contratação emergencial de um auxiliar em inspeção que desempenhará as funções atinentes ao funcionamento do Serviço de Inspeção Municipal criado pela Lei Municipal 2009/2013.</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2618, está em condições de tramitar, v</w:t>
      </w:r>
      <w:r>
        <w:rPr>
          <w:rFonts w:eastAsia="Calibri" w:cs="Arial"/>
        </w:rPr>
        <w:t>isto que adequada a iniciativa, acompanhado de justificativa e de impacto orçamentário-financeiro.</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30 de abril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5B993-C9E6-4080-A9EF-5337FC75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2020-02-03T11:26:00Z</cp:lastPrinted>
  <dcterms:created xsi:type="dcterms:W3CDTF">2020-05-04T20:24:00Z</dcterms:created>
  <dcterms:modified xsi:type="dcterms:W3CDTF">2020-05-04T20:26:00Z</dcterms:modified>
</cp:coreProperties>
</file>