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7099/2020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Estabelece o lançamento de IPTU – Imposto Predial Territorial Urbano, desconto para pagamento em parcela única, parcelamento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pedido de autorização para lançamento de IPTU – Imposto Predial Territorial Urbano, desconto para pagamento em parcela única e parcelamento.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Inicialmente, pertinente o objeto da proposição, ora apresentada pelo Poder Executivo, pois o parágrafo único do art. 160 do Código Tributário Nacional, estipula que “</w:t>
      </w:r>
      <w:r>
        <w:rPr>
          <w:rFonts w:eastAsia="Calibri" w:cs="Arial"/>
          <w:i/>
        </w:rPr>
        <w:t>a legislação tributária pode conceder desconto pela antecipação do pagamento, nas condições que estabeleça</w:t>
      </w:r>
      <w:r>
        <w:rPr>
          <w:rFonts w:eastAsia="Calibri" w:cs="Arial"/>
        </w:rPr>
        <w:t xml:space="preserve">”.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roofErr w:type="gramStart"/>
      <w:r>
        <w:rPr>
          <w:rFonts w:eastAsia="Calibri" w:cs="Arial"/>
        </w:rPr>
        <w:t>Outrossim</w:t>
      </w:r>
      <w:proofErr w:type="gramEnd"/>
      <w:r>
        <w:rPr>
          <w:rFonts w:eastAsia="Calibri" w:cs="Arial"/>
        </w:rPr>
        <w:t>, O parcelamento de crédito tributário é legalmente admitido, desde que previsto em lei, conforme autoriza o Código Tributário Nacional, art. 155-A. O Município, que detém competência constitucional para a instituição do IPTU, pode editar lei específica autorizando o parcelamento de seus créditos tributários.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roofErr w:type="gramStart"/>
      <w:r>
        <w:rPr>
          <w:rFonts w:eastAsia="Calibri" w:cs="Arial"/>
        </w:rPr>
        <w:t>Se constata</w:t>
      </w:r>
      <w:proofErr w:type="gramEnd"/>
      <w:r>
        <w:rPr>
          <w:rFonts w:eastAsia="Calibri" w:cs="Arial"/>
        </w:rPr>
        <w:t>, a partir da análise das leis municipais, que o Poder Executivo adotou a mesma medida nos exercícios anteriores</w:t>
      </w:r>
      <w:bookmarkStart w:id="0" w:name="_GoBack"/>
      <w:bookmarkEnd w:id="0"/>
      <w:r>
        <w:rPr>
          <w:rFonts w:eastAsia="Calibri" w:cs="Arial"/>
        </w:rPr>
        <w:t>. Portanto, não se configura uma medida eventual ou episódica e sim um benefício que foi posto em exercícios anteriores, afastando-se a aplicação da Lei Federal nº 9.504, de 1997 (Lei Eleitoral), sendo a integração da medida no contexto do planejamento governamental, descaracterizando-se como eventual.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fevereiro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CEC5-87F5-4A3A-BEBE-83310A4D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2020-02-03T11:26:00Z</cp:lastPrinted>
  <dcterms:created xsi:type="dcterms:W3CDTF">2020-02-24T16:23:00Z</dcterms:created>
  <dcterms:modified xsi:type="dcterms:W3CDTF">2020-02-24T16:26:00Z</dcterms:modified>
</cp:coreProperties>
</file>