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1º DE OUTUBRO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2654, de 27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</w:t>
      </w:r>
      <w:r>
        <w:rPr>
          <w:bCs/>
          <w:sz w:val="28"/>
          <w:szCs w:val="28"/>
        </w:rPr>
        <w:tab/>
        <w:t xml:space="preserve"> SOBRE A LEI DE DIRETRIZES ORÇAMENTÁRIAS PARA O EXERCÍCIO FINANCEIRO DE 2021.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2654/2020.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2658, de 17 de setembro de 2020 </w:t>
      </w:r>
      <w:r>
        <w:rPr>
          <w:bCs/>
          <w:sz w:val="28"/>
          <w:szCs w:val="28"/>
        </w:rPr>
        <w:t>– ESTABELECE NORMAS SOBRE A REGULARIZAÇÃO FUNDIÁRIA URBANA – REURB, NO ÂMBITO DO MUNICÍPIO DE SALTO DO JACUÍ/RS, DE ACORDO COM A LEI Nº 13.465/2017 E DÁ OUTRAS PROVIDÊNCIAS.</w:t>
      </w:r>
      <w:r>
        <w:rPr>
          <w:b/>
          <w:bCs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CF74-B059-4A0C-AB18-A3BB193E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2020-10-06T14:18:00Z</dcterms:created>
  <dcterms:modified xsi:type="dcterms:W3CDTF">2020-10-06T14:18:00Z</dcterms:modified>
</cp:coreProperties>
</file>