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02 DE JULHO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2634, de 24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 xml:space="preserve">DISPÕE </w:t>
      </w:r>
      <w:proofErr w:type="gramStart"/>
      <w:r>
        <w:rPr>
          <w:sz w:val="28"/>
          <w:szCs w:val="28"/>
          <w:lang w:val="pt-PT"/>
        </w:rPr>
        <w:t>SOB INSTALAÇÕES</w:t>
      </w:r>
      <w:proofErr w:type="gramEnd"/>
      <w:r>
        <w:rPr>
          <w:sz w:val="28"/>
          <w:szCs w:val="28"/>
          <w:lang w:val="pt-PT"/>
        </w:rPr>
        <w:t xml:space="preserve"> DE CONDOMÍNIOS HORIZONTAIS FECHADOS EM GLEBAS SITUADAS EM ÁREAS URBANAS E/OU ZONA RURAL.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2635, de 23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DECLARA PATRIMÔNIO HISTÓRICO E ARTÍSTICO O MARCO DE PEDRA DA CONSTRUÇÃO DA BARRAGEM MAIA FILHO, COMO PARTE RELEVANTE DO PATRIMÔNIO CULTURAL DO MUNICÍPIO DE SALTO DO JACUÍ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4BD8-9245-4747-881D-78DF1FD1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2020-07-06T19:42:00Z</dcterms:created>
  <dcterms:modified xsi:type="dcterms:W3CDTF">2020-07-06T19:42:00Z</dcterms:modified>
</cp:coreProperties>
</file>