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29" w:rsidRDefault="000D6B29">
      <w:pPr>
        <w:tabs>
          <w:tab w:val="left" w:pos="1418"/>
          <w:tab w:val="left" w:pos="5059"/>
        </w:tabs>
        <w:spacing w:after="0" w:line="240" w:lineRule="auto"/>
        <w:jc w:val="center"/>
        <w:rPr>
          <w:rFonts w:eastAsia="Calibri" w:cs="Arial"/>
          <w:b/>
        </w:rPr>
      </w:pPr>
      <w:bookmarkStart w:id="0" w:name="_GoBack"/>
      <w:bookmarkEnd w:id="0"/>
    </w:p>
    <w:p w:rsidR="000D6B29" w:rsidRDefault="000D6B29">
      <w:pPr>
        <w:tabs>
          <w:tab w:val="left" w:pos="1418"/>
          <w:tab w:val="left" w:pos="5059"/>
        </w:tabs>
        <w:spacing w:after="0" w:line="240" w:lineRule="auto"/>
        <w:jc w:val="center"/>
        <w:rPr>
          <w:rFonts w:eastAsia="Calibri" w:cs="Arial"/>
          <w:b/>
        </w:rPr>
      </w:pPr>
    </w:p>
    <w:p w:rsidR="000D6B29" w:rsidRDefault="000D6B29">
      <w:pPr>
        <w:tabs>
          <w:tab w:val="left" w:pos="1418"/>
          <w:tab w:val="left" w:pos="5059"/>
        </w:tabs>
        <w:spacing w:after="0" w:line="240" w:lineRule="auto"/>
        <w:jc w:val="center"/>
        <w:rPr>
          <w:rFonts w:eastAsia="Calibri" w:cs="Arial"/>
          <w:b/>
        </w:rPr>
      </w:pPr>
    </w:p>
    <w:p w:rsidR="000D6B29" w:rsidRDefault="00B9069D">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0D6B29" w:rsidRDefault="00B9069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8/2020</w:t>
      </w:r>
    </w:p>
    <w:p w:rsidR="000D6B29" w:rsidRDefault="00B9069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7068/2020</w:t>
      </w:r>
      <w:r>
        <w:rPr>
          <w:rFonts w:eastAsia="Calibri" w:cs="Arial"/>
        </w:rPr>
        <w:tab/>
        <w:t xml:space="preserve">                             </w:t>
      </w:r>
      <w:r>
        <w:rPr>
          <w:rFonts w:eastAsia="Calibri" w:cs="Arial"/>
          <w:b/>
        </w:rPr>
        <w:t>Data:</w:t>
      </w:r>
      <w:r>
        <w:rPr>
          <w:rFonts w:eastAsia="Calibri" w:cs="Arial"/>
        </w:rPr>
        <w:t xml:space="preserve"> 15 de janeiro de 2020</w:t>
      </w:r>
    </w:p>
    <w:p w:rsidR="000D6B29" w:rsidRDefault="00B9069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2594/2020</w:t>
      </w:r>
      <w:r>
        <w:rPr>
          <w:rFonts w:eastAsia="Calibri" w:cs="Arial"/>
        </w:rPr>
        <w:tab/>
        <w:t xml:space="preserve">                                                                        </w:t>
      </w:r>
      <w:r>
        <w:rPr>
          <w:rFonts w:eastAsia="Calibri" w:cs="Arial"/>
          <w:b/>
        </w:rPr>
        <w:t>Autor:</w:t>
      </w:r>
      <w:r>
        <w:rPr>
          <w:rFonts w:eastAsia="Calibri" w:cs="Arial"/>
        </w:rPr>
        <w:t xml:space="preserve"> Poder Executivo</w:t>
      </w:r>
    </w:p>
    <w:p w:rsidR="000D6B29" w:rsidRDefault="00B9069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0D6B29" w:rsidRDefault="00B9069D">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o índice geral para revisão anual da remuneração dos servidores do Município e dá outras providências.</w:t>
      </w:r>
    </w:p>
    <w:p w:rsidR="000D6B29" w:rsidRDefault="000D6B29">
      <w:pPr>
        <w:tabs>
          <w:tab w:val="left" w:pos="1418"/>
          <w:tab w:val="left" w:pos="5059"/>
        </w:tabs>
        <w:spacing w:after="0" w:line="240" w:lineRule="auto"/>
        <w:jc w:val="both"/>
        <w:rPr>
          <w:rFonts w:eastAsia="Calibri" w:cs="Arial"/>
          <w:b/>
        </w:rPr>
      </w:pPr>
    </w:p>
    <w:p w:rsidR="000D6B29" w:rsidRDefault="00B9069D">
      <w:pPr>
        <w:tabs>
          <w:tab w:val="left" w:pos="1418"/>
          <w:tab w:val="left" w:pos="5059"/>
        </w:tabs>
        <w:spacing w:after="0" w:line="240" w:lineRule="auto"/>
        <w:jc w:val="center"/>
        <w:rPr>
          <w:rFonts w:eastAsia="Calibri" w:cs="Arial"/>
          <w:b/>
        </w:rPr>
      </w:pPr>
      <w:r>
        <w:rPr>
          <w:rFonts w:eastAsia="Calibri" w:cs="Arial"/>
          <w:b/>
        </w:rPr>
        <w:t>Re</w:t>
      </w:r>
      <w:r>
        <w:rPr>
          <w:rFonts w:eastAsia="Calibri" w:cs="Arial"/>
          <w:b/>
        </w:rPr>
        <w:t>latório:</w:t>
      </w:r>
    </w:p>
    <w:p w:rsidR="000D6B29" w:rsidRDefault="000D6B29">
      <w:pPr>
        <w:tabs>
          <w:tab w:val="left" w:pos="1418"/>
          <w:tab w:val="left" w:pos="5059"/>
        </w:tabs>
        <w:spacing w:after="0" w:line="240" w:lineRule="auto"/>
        <w:jc w:val="center"/>
        <w:rPr>
          <w:rFonts w:eastAsia="Calibri" w:cs="Arial"/>
          <w:b/>
        </w:rPr>
      </w:pPr>
    </w:p>
    <w:p w:rsidR="000D6B29" w:rsidRDefault="00B9069D">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dispor sobre o índice geral para revisão anual da remuneração dos servidores do Município.</w:t>
      </w:r>
    </w:p>
    <w:p w:rsidR="000D6B29" w:rsidRDefault="00B9069D">
      <w:pPr>
        <w:tabs>
          <w:tab w:val="left" w:pos="1418"/>
          <w:tab w:val="left" w:pos="5059"/>
        </w:tabs>
        <w:spacing w:after="0" w:line="240" w:lineRule="auto"/>
        <w:jc w:val="center"/>
        <w:rPr>
          <w:rFonts w:eastAsia="Calibri" w:cs="Arial"/>
          <w:b/>
        </w:rPr>
      </w:pPr>
      <w:r>
        <w:rPr>
          <w:rFonts w:eastAsia="Calibri" w:cs="Arial"/>
          <w:b/>
        </w:rPr>
        <w:t>Análise:</w:t>
      </w:r>
    </w:p>
    <w:p w:rsidR="000D6B29" w:rsidRDefault="000D6B29">
      <w:pPr>
        <w:tabs>
          <w:tab w:val="left" w:pos="1418"/>
          <w:tab w:val="left" w:pos="5059"/>
        </w:tabs>
        <w:spacing w:after="0" w:line="240" w:lineRule="auto"/>
        <w:jc w:val="center"/>
        <w:rPr>
          <w:rFonts w:eastAsia="Calibri" w:cs="Arial"/>
          <w:b/>
        </w:rPr>
      </w:pPr>
    </w:p>
    <w:p w:rsidR="000D6B29" w:rsidRDefault="00B9069D">
      <w:pPr>
        <w:tabs>
          <w:tab w:val="left" w:pos="1701"/>
          <w:tab w:val="left" w:pos="5059"/>
        </w:tabs>
        <w:spacing w:after="0" w:line="240" w:lineRule="auto"/>
        <w:ind w:firstLine="1701"/>
        <w:jc w:val="both"/>
        <w:rPr>
          <w:rFonts w:eastAsia="Calibri" w:cs="Arial"/>
        </w:rPr>
      </w:pPr>
      <w:r>
        <w:rPr>
          <w:rFonts w:eastAsia="Calibri" w:cs="Arial"/>
        </w:rPr>
        <w:t xml:space="preserve">Na análise, quanto à iniciativa, é pacífico que </w:t>
      </w:r>
      <w:r>
        <w:rPr>
          <w:rFonts w:eastAsia="Calibri" w:cs="Arial"/>
        </w:rPr>
        <w:t>para a concessão de revisão geral anual, no âmbito municipal, é privativa do Prefeito, não cabendo a outro Poder interferir na sua proposição, inclusive no que diz respeito ao índice a ser aplicado. Tal sentença encontra escopo ao art. 37, X, da Constituiç</w:t>
      </w:r>
      <w:r>
        <w:rPr>
          <w:rFonts w:eastAsia="Calibri" w:cs="Arial"/>
        </w:rPr>
        <w:t>ão Federal, bem como no art. 33, §1º, da Constituição do Estado do Rio Grande do Sul, com competência para o Chefe do Poder Executivo.</w:t>
      </w:r>
    </w:p>
    <w:p w:rsidR="000D6B29" w:rsidRDefault="000D6B29">
      <w:pPr>
        <w:tabs>
          <w:tab w:val="left" w:pos="1701"/>
          <w:tab w:val="left" w:pos="5059"/>
        </w:tabs>
        <w:spacing w:after="0" w:line="240" w:lineRule="auto"/>
        <w:ind w:firstLine="1701"/>
        <w:jc w:val="both"/>
        <w:rPr>
          <w:rFonts w:eastAsia="Calibri" w:cs="Arial"/>
        </w:rPr>
      </w:pPr>
    </w:p>
    <w:p w:rsidR="000D6B29" w:rsidRDefault="00B9069D">
      <w:pPr>
        <w:tabs>
          <w:tab w:val="left" w:pos="1701"/>
          <w:tab w:val="left" w:pos="5059"/>
        </w:tabs>
        <w:spacing w:after="0" w:line="240" w:lineRule="auto"/>
        <w:ind w:firstLine="1701"/>
        <w:jc w:val="both"/>
        <w:rPr>
          <w:rFonts w:eastAsia="Calibri" w:cs="Arial"/>
        </w:rPr>
      </w:pPr>
      <w:r>
        <w:rPr>
          <w:rFonts w:eastAsia="Calibri" w:cs="Arial"/>
        </w:rPr>
        <w:t>No que concerne à revisão geral anual, registra-se que, deve ser concedida para todos os servidores públicos, bem como p</w:t>
      </w:r>
      <w:r>
        <w:rPr>
          <w:rFonts w:eastAsia="Calibri" w:cs="Arial"/>
        </w:rPr>
        <w:t xml:space="preserve">ara todos os agentes políticos municipais, dos Poderes Executivo e Legislativo, através de um único ato (único Projeto de Lei). A revisão geral anual tem por finalidade a reposição da perda inflacionária verificada no período de um ano, visto que é anual. </w:t>
      </w:r>
      <w:r>
        <w:rPr>
          <w:rFonts w:eastAsia="Calibri" w:cs="Arial"/>
        </w:rPr>
        <w:t>Dadas suas características – anualidade e generalidade – é direito de todos os servidores públicos e dos agentes políticos, já que se trata de mera atualização monetária que não implica em aumento remuneratório.</w:t>
      </w:r>
    </w:p>
    <w:p w:rsidR="000D6B29" w:rsidRDefault="000D6B29">
      <w:pPr>
        <w:tabs>
          <w:tab w:val="left" w:pos="1701"/>
          <w:tab w:val="left" w:pos="5059"/>
        </w:tabs>
        <w:spacing w:after="0" w:line="240" w:lineRule="auto"/>
        <w:ind w:firstLine="1701"/>
        <w:jc w:val="both"/>
        <w:rPr>
          <w:rFonts w:eastAsia="Calibri" w:cs="Arial"/>
        </w:rPr>
      </w:pPr>
    </w:p>
    <w:p w:rsidR="000D6B29" w:rsidRDefault="00B9069D">
      <w:pPr>
        <w:tabs>
          <w:tab w:val="left" w:pos="1701"/>
          <w:tab w:val="left" w:pos="5059"/>
        </w:tabs>
        <w:spacing w:after="0" w:line="240" w:lineRule="auto"/>
        <w:ind w:firstLine="1701"/>
        <w:jc w:val="both"/>
        <w:rPr>
          <w:rFonts w:eastAsia="Calibri" w:cs="Arial"/>
        </w:rPr>
      </w:pPr>
      <w:r>
        <w:rPr>
          <w:rFonts w:eastAsia="Calibri" w:cs="Arial"/>
        </w:rPr>
        <w:t>Foi apresentada</w:t>
      </w:r>
      <w:r>
        <w:rPr>
          <w:rFonts w:eastAsia="Calibri" w:cs="Arial"/>
        </w:rPr>
        <w:t xml:space="preserve"> pelo Poder Executivo Mensagem Retificativa com o objetivo de adequar o texto do Projeto de Lei.</w:t>
      </w:r>
    </w:p>
    <w:p w:rsidR="000D6B29" w:rsidRDefault="000D6B29">
      <w:pPr>
        <w:tabs>
          <w:tab w:val="left" w:pos="1701"/>
          <w:tab w:val="left" w:pos="5059"/>
        </w:tabs>
        <w:spacing w:after="0" w:line="240" w:lineRule="auto"/>
        <w:ind w:firstLine="1701"/>
        <w:jc w:val="both"/>
        <w:rPr>
          <w:rFonts w:eastAsia="Calibri" w:cs="Arial"/>
        </w:rPr>
      </w:pPr>
    </w:p>
    <w:p w:rsidR="000D6B29" w:rsidRDefault="00B9069D">
      <w:pPr>
        <w:tabs>
          <w:tab w:val="left" w:pos="1701"/>
          <w:tab w:val="left" w:pos="5059"/>
        </w:tabs>
        <w:spacing w:after="0" w:line="240" w:lineRule="auto"/>
        <w:ind w:firstLine="1701"/>
        <w:jc w:val="both"/>
        <w:rPr>
          <w:rFonts w:eastAsia="Calibri" w:cs="Arial"/>
        </w:rPr>
      </w:pPr>
      <w:r>
        <w:rPr>
          <w:rFonts w:eastAsia="Calibri" w:cs="Arial"/>
        </w:rPr>
        <w:t>Conclui-se que o Projeto de Lei nº 2594, está em condições de tramitar, visto que adequada a iniciativa e acompanhado de justificativa.</w:t>
      </w:r>
    </w:p>
    <w:p w:rsidR="000D6B29" w:rsidRDefault="000D6B29">
      <w:pPr>
        <w:tabs>
          <w:tab w:val="left" w:pos="1701"/>
          <w:tab w:val="left" w:pos="5059"/>
        </w:tabs>
        <w:spacing w:after="0" w:line="240" w:lineRule="auto"/>
        <w:ind w:firstLine="1701"/>
        <w:jc w:val="both"/>
        <w:rPr>
          <w:rFonts w:eastAsia="Calibri" w:cs="Arial"/>
        </w:rPr>
      </w:pPr>
    </w:p>
    <w:p w:rsidR="000D6B29" w:rsidRDefault="00B9069D">
      <w:pPr>
        <w:tabs>
          <w:tab w:val="left" w:pos="1418"/>
          <w:tab w:val="left" w:pos="5059"/>
        </w:tabs>
        <w:spacing w:after="0" w:line="240" w:lineRule="auto"/>
        <w:jc w:val="center"/>
        <w:rPr>
          <w:rFonts w:eastAsia="Calibri" w:cs="Arial"/>
          <w:b/>
        </w:rPr>
      </w:pPr>
      <w:r>
        <w:rPr>
          <w:rFonts w:eastAsia="Calibri" w:cs="Arial"/>
          <w:b/>
        </w:rPr>
        <w:t>Conclusão do Voto:</w:t>
      </w:r>
    </w:p>
    <w:p w:rsidR="000D6B29" w:rsidRDefault="000D6B29">
      <w:pPr>
        <w:tabs>
          <w:tab w:val="left" w:pos="1418"/>
          <w:tab w:val="left" w:pos="5059"/>
        </w:tabs>
        <w:spacing w:after="0" w:line="240" w:lineRule="auto"/>
        <w:jc w:val="both"/>
        <w:rPr>
          <w:rFonts w:eastAsia="Calibri" w:cs="Arial"/>
        </w:rPr>
      </w:pPr>
    </w:p>
    <w:p w:rsidR="000D6B29" w:rsidRDefault="00B9069D">
      <w:pPr>
        <w:tabs>
          <w:tab w:val="left" w:pos="1701"/>
          <w:tab w:val="left" w:pos="5059"/>
        </w:tabs>
        <w:spacing w:after="0" w:line="240" w:lineRule="auto"/>
        <w:jc w:val="both"/>
        <w:rPr>
          <w:rFonts w:eastAsia="Calibri" w:cs="Arial"/>
        </w:rPr>
      </w:pPr>
      <w:r>
        <w:rPr>
          <w:rFonts w:eastAsia="Calibri" w:cs="Arial"/>
        </w:rPr>
        <w:tab/>
      </w:r>
      <w:r>
        <w:rPr>
          <w:rFonts w:eastAsia="Calibri" w:cs="Arial"/>
        </w:rPr>
        <w:t>Pelos fundamentos declinados neste Parecer, esta Relatoria opina que o Projeto de Lei em exame está adequado, devendo a matéria seguir seu curso regimental.</w:t>
      </w:r>
    </w:p>
    <w:p w:rsidR="000D6B29" w:rsidRDefault="000D6B29">
      <w:pPr>
        <w:tabs>
          <w:tab w:val="left" w:pos="1701"/>
          <w:tab w:val="left" w:pos="5059"/>
        </w:tabs>
        <w:spacing w:after="0" w:line="240" w:lineRule="auto"/>
        <w:jc w:val="both"/>
        <w:rPr>
          <w:rFonts w:eastAsia="Calibri" w:cs="Arial"/>
        </w:rPr>
      </w:pPr>
    </w:p>
    <w:p w:rsidR="000D6B29" w:rsidRDefault="000D6B29">
      <w:pPr>
        <w:tabs>
          <w:tab w:val="left" w:pos="1418"/>
          <w:tab w:val="left" w:pos="5059"/>
        </w:tabs>
        <w:spacing w:after="0" w:line="240" w:lineRule="auto"/>
        <w:jc w:val="both"/>
        <w:rPr>
          <w:rFonts w:eastAsia="Calibri" w:cs="Arial"/>
        </w:rPr>
      </w:pPr>
    </w:p>
    <w:p w:rsidR="000D6B29" w:rsidRDefault="00B9069D">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0D6B29" w:rsidRDefault="000D6B29">
      <w:pPr>
        <w:tabs>
          <w:tab w:val="left" w:pos="1701"/>
          <w:tab w:val="left" w:pos="5059"/>
        </w:tabs>
        <w:spacing w:after="0" w:line="240" w:lineRule="auto"/>
        <w:jc w:val="both"/>
        <w:rPr>
          <w:rFonts w:eastAsia="Calibri" w:cs="Arial"/>
        </w:rPr>
      </w:pPr>
    </w:p>
    <w:p w:rsidR="000D6B29" w:rsidRDefault="000D6B29">
      <w:pPr>
        <w:tabs>
          <w:tab w:val="left" w:pos="1418"/>
          <w:tab w:val="left" w:pos="5059"/>
        </w:tabs>
        <w:spacing w:after="0" w:line="240" w:lineRule="auto"/>
        <w:jc w:val="both"/>
        <w:rPr>
          <w:rFonts w:eastAsia="Calibri" w:cs="Arial"/>
        </w:rPr>
      </w:pPr>
    </w:p>
    <w:p w:rsidR="000D6B29" w:rsidRDefault="00B9069D">
      <w:pPr>
        <w:tabs>
          <w:tab w:val="left" w:pos="1418"/>
          <w:tab w:val="left" w:pos="5059"/>
        </w:tabs>
        <w:spacing w:after="0" w:line="240" w:lineRule="auto"/>
        <w:jc w:val="center"/>
        <w:rPr>
          <w:rFonts w:eastAsia="Calibri" w:cs="Arial"/>
        </w:rPr>
      </w:pPr>
      <w:r>
        <w:rPr>
          <w:rFonts w:eastAsia="Calibri" w:cs="Arial"/>
        </w:rPr>
        <w:t>Vereador José Sérgio de Carvalho</w:t>
      </w:r>
    </w:p>
    <w:p w:rsidR="000D6B29" w:rsidRDefault="000D6B29">
      <w:pPr>
        <w:tabs>
          <w:tab w:val="left" w:pos="1418"/>
          <w:tab w:val="left" w:pos="5059"/>
        </w:tabs>
        <w:spacing w:after="0" w:line="240" w:lineRule="auto"/>
        <w:jc w:val="both"/>
        <w:rPr>
          <w:rFonts w:eastAsia="Calibri" w:cs="Arial"/>
        </w:rPr>
      </w:pPr>
    </w:p>
    <w:p w:rsidR="000D6B29" w:rsidRDefault="00B9069D">
      <w:pPr>
        <w:tabs>
          <w:tab w:val="left" w:pos="1418"/>
          <w:tab w:val="left" w:pos="5059"/>
        </w:tabs>
        <w:spacing w:after="0" w:line="240" w:lineRule="auto"/>
        <w:jc w:val="both"/>
        <w:rPr>
          <w:rFonts w:eastAsia="Calibri" w:cs="Arial"/>
          <w:b/>
        </w:rPr>
      </w:pPr>
      <w:r>
        <w:rPr>
          <w:rFonts w:eastAsia="Calibri" w:cs="Arial"/>
          <w:b/>
        </w:rPr>
        <w:t>Pelas conclusõ</w:t>
      </w:r>
      <w:r>
        <w:rPr>
          <w:rFonts w:eastAsia="Calibri" w:cs="Arial"/>
          <w:b/>
        </w:rPr>
        <w:t>es:</w:t>
      </w:r>
    </w:p>
    <w:p w:rsidR="000D6B29" w:rsidRDefault="000D6B29">
      <w:pPr>
        <w:tabs>
          <w:tab w:val="left" w:pos="1418"/>
          <w:tab w:val="left" w:pos="5059"/>
        </w:tabs>
        <w:spacing w:after="0" w:line="240" w:lineRule="auto"/>
        <w:rPr>
          <w:rFonts w:eastAsia="Calibri" w:cs="Arial"/>
        </w:rPr>
      </w:pPr>
    </w:p>
    <w:p w:rsidR="000D6B29" w:rsidRDefault="00B9069D">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Gelso Soares de Brito</w:t>
      </w:r>
    </w:p>
    <w:sectPr w:rsidR="000D6B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9D" w:rsidRDefault="00B9069D">
      <w:pPr>
        <w:spacing w:after="0" w:line="240" w:lineRule="auto"/>
      </w:pPr>
      <w:r>
        <w:separator/>
      </w:r>
    </w:p>
  </w:endnote>
  <w:endnote w:type="continuationSeparator" w:id="0">
    <w:p w:rsidR="00B9069D" w:rsidRDefault="00B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9D" w:rsidRDefault="00B9069D">
      <w:pPr>
        <w:spacing w:after="0" w:line="240" w:lineRule="auto"/>
      </w:pPr>
      <w:r>
        <w:separator/>
      </w:r>
    </w:p>
  </w:footnote>
  <w:footnote w:type="continuationSeparator" w:id="0">
    <w:p w:rsidR="00B9069D" w:rsidRDefault="00B90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29"/>
    <w:rsid w:val="000D6B29"/>
    <w:rsid w:val="00B9069D"/>
    <w:rsid w:val="00BE5D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82F6B-DAE6-4A73-BEB2-5322DB61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CDBD-1A55-49A6-8349-EBCE7DD3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2020-04-07T19:06:00Z</dcterms:created>
  <dcterms:modified xsi:type="dcterms:W3CDTF">2020-04-07T19:06:00Z</dcterms:modified>
</cp:coreProperties>
</file>