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7255/2020</w:t>
      </w:r>
      <w:r>
        <w:rPr>
          <w:rFonts w:eastAsia="Calibri" w:cs="Arial"/>
        </w:rPr>
        <w:tab/>
        <w:t xml:space="preserve">                             </w:t>
      </w:r>
      <w:r>
        <w:rPr>
          <w:rFonts w:eastAsia="Calibri" w:cs="Arial"/>
          <w:b/>
        </w:rPr>
        <w:t>Data:</w:t>
      </w:r>
      <w:r>
        <w:rPr>
          <w:rFonts w:eastAsia="Calibri" w:cs="Arial"/>
        </w:rPr>
        <w:t xml:space="preserve"> 19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Dispõe sobre a alteração do art. 4° e inciso II da Lei Municipal nº 1.719, de </w:t>
      </w:r>
      <w:proofErr w:type="gramStart"/>
      <w:r>
        <w:rPr>
          <w:rFonts w:eastAsia="Calibri" w:cs="Arial"/>
          <w:bCs/>
        </w:rPr>
        <w:t>29 abril 2009</w:t>
      </w:r>
      <w:proofErr w:type="gramEnd"/>
      <w:r>
        <w:rPr>
          <w:rFonts w:eastAsia="Calibri" w:cs="Arial"/>
          <w:bCs/>
        </w:rPr>
        <w:t>, alteração do art. 11 da Lei Municipal nº 866 de 05 de janeiro 2000 e revogação da Lei Municipal nº 2.348, de 05 de dezembro de 2017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dispor sobre a alteração do art. 4° e inciso II da Lei Municipal nº 1.719, de </w:t>
      </w:r>
      <w:proofErr w:type="gramStart"/>
      <w:r>
        <w:rPr>
          <w:rFonts w:eastAsia="Calibri" w:cs="Arial"/>
        </w:rPr>
        <w:t>29 abril 2009</w:t>
      </w:r>
      <w:proofErr w:type="gramEnd"/>
      <w:r>
        <w:rPr>
          <w:rFonts w:eastAsia="Calibri" w:cs="Arial"/>
        </w:rPr>
        <w:t>, alteração do art. 11 da Lei Municipal nº 866 de 05 de janeiro 2000 e revogação da Lei Municipal nº 2.348, de 05 de dezembro de 2017.</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matéria encontra-se prevista nas competências legisla</w:t>
      </w:r>
      <w:r>
        <w:rPr>
          <w:rFonts w:ascii="Calibri" w:eastAsia="Calibri" w:hAnsi="Calibri" w:cs="Calibri"/>
        </w:rPr>
        <w:t>ti</w:t>
      </w:r>
      <w:r>
        <w:rPr>
          <w:rFonts w:eastAsia="Calibri" w:cs="Arial"/>
        </w:rPr>
        <w:t>vas conferidas aos Municípios, conforme dispõem a Cons</w:t>
      </w:r>
      <w:r>
        <w:rPr>
          <w:rFonts w:ascii="Calibri" w:eastAsia="Calibri" w:hAnsi="Calibri" w:cs="Calibri"/>
        </w:rPr>
        <w:t>ti</w:t>
      </w:r>
      <w:r>
        <w:rPr>
          <w:rFonts w:eastAsia="Calibri" w:cs="Arial"/>
        </w:rPr>
        <w:t>tuição Federal e a Lei Orgânica Municipal quanto à autonomia deste ente federa</w:t>
      </w:r>
      <w:r>
        <w:rPr>
          <w:rFonts w:ascii="Calibri" w:eastAsia="Calibri" w:hAnsi="Calibri" w:cs="Calibri"/>
        </w:rPr>
        <w:t>ti</w:t>
      </w:r>
      <w:r>
        <w:rPr>
          <w:rFonts w:eastAsia="Calibri" w:cs="Arial"/>
        </w:rPr>
        <w:t>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visa preservar os respectivos Conselhos, o Conselho Municipal de Habitação e Saneamento e o Conselho Municipal de Defesa do Meio Ambiente – COMDEMA, de forma separada e com seus respectivos conselheiros.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à composição do COMDEMA, na forma proposta a alteração dos representantes da sociedade civil mantém o número de membros e, portanto, a paridade com o Poder Público.</w:t>
      </w:r>
    </w:p>
    <w:p>
      <w:pPr>
        <w:tabs>
          <w:tab w:val="left" w:pos="1701"/>
          <w:tab w:val="left" w:pos="5059"/>
        </w:tabs>
        <w:spacing w:after="0" w:line="240" w:lineRule="auto"/>
        <w:ind w:firstLine="1701"/>
        <w:jc w:val="both"/>
        <w:rPr>
          <w:rFonts w:eastAsia="Calibri" w:cs="Arial"/>
        </w:rPr>
      </w:pPr>
    </w:p>
    <w:p>
      <w:pPr>
        <w:tabs>
          <w:tab w:val="left" w:pos="1701"/>
          <w:tab w:val="left" w:pos="2166"/>
        </w:tabs>
        <w:spacing w:after="0" w:line="240" w:lineRule="auto"/>
        <w:ind w:firstLine="1701"/>
        <w:jc w:val="both"/>
        <w:rPr>
          <w:rFonts w:eastAsia="Calibri" w:cs="Arial"/>
        </w:rPr>
      </w:pPr>
      <w:r>
        <w:rPr>
          <w:rFonts w:eastAsia="Calibri" w:cs="Arial"/>
        </w:rPr>
        <w:t>Conclui-se que o Projeto de Lei nº 2631,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25 de junho de 2020.</w:t>
      </w:r>
    </w:p>
    <w:p>
      <w:pPr>
        <w:tabs>
          <w:tab w:val="left" w:pos="1701"/>
          <w:tab w:val="left" w:pos="5059"/>
        </w:tabs>
        <w:spacing w:after="0" w:line="240" w:lineRule="auto"/>
        <w:jc w:val="both"/>
        <w:rPr>
          <w:rFonts w:eastAsia="Calibri" w:cs="Arial"/>
        </w:rPr>
      </w:pPr>
      <w:bookmarkStart w:id="0" w:name="_GoBack"/>
      <w:bookmarkEnd w:id="0"/>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7A58-3E4D-43A3-A2A6-10F20AB0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2020-05-20T14:37:00Z</cp:lastPrinted>
  <dcterms:created xsi:type="dcterms:W3CDTF">2020-06-29T22:07:00Z</dcterms:created>
  <dcterms:modified xsi:type="dcterms:W3CDTF">2020-06-29T22:08:00Z</dcterms:modified>
</cp:coreProperties>
</file>