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46/2020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7249/2020</w:t>
      </w:r>
      <w:r>
        <w:rPr>
          <w:rFonts w:eastAsia="Calibri" w:cs="Arial"/>
        </w:rPr>
        <w:tab/>
        <w:t xml:space="preserve">                             </w:t>
      </w:r>
      <w:r>
        <w:rPr>
          <w:rFonts w:eastAsia="Calibri" w:cs="Arial"/>
          <w:b/>
        </w:rPr>
        <w:t>Data:</w:t>
      </w:r>
      <w:r>
        <w:rPr>
          <w:rFonts w:eastAsia="Calibri" w:cs="Arial"/>
        </w:rPr>
        <w:t xml:space="preserve"> 10 de junho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2629/2020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Isabel de Oliveira Elias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a contratação emergencial temporária, por tempo determinado, na forma do artigo 37, IX da Constituição Federal e artigo 76 da Lei Orgânica Municipal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
        </w:rPr>
      </w:pPr>
      <w:r>
        <w:rPr>
          <w:rFonts w:eastAsia="Calibri" w:cs="Arial"/>
        </w:rPr>
        <w:tab/>
        <w:t xml:space="preserve">O Projeto de Lei em análise foi apresentado nesta Casa Legislativa no dia 10 de junho de 2020 e tem como objetivo </w:t>
      </w:r>
      <w:r>
        <w:rPr>
          <w:rFonts w:eastAsia="Calibri" w:cs="Arial"/>
          <w:bCs/>
        </w:rPr>
        <w:t>autorizar a contratação emergencial temporária, por tempo determinado, na forma do artigo 37, IX da Constituição Federal e artigo 76 da Lei Orgânica Municipal.</w:t>
      </w: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iniciativa legislativa do projeto de lei atende o disposto no inciso XI do art. 54 da Lei Orgânica Municipal.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justificativa, no caso concreto, o Projeto visa à contratação emergencial de médico (a) e enfermeiro (a) para suprir as lacunas deixadas pelos servidores afastados em virtude da pandemia bem como do aumento da demanda na prestação de serviços de saúde.</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O Poder Executivo encaminhou Mensagem Retificativa promovendo adequações no Projeto de Lei.</w:t>
      </w:r>
    </w:p>
    <w:p>
      <w:pPr>
        <w:tabs>
          <w:tab w:val="left" w:pos="1701"/>
          <w:tab w:val="left" w:pos="5059"/>
        </w:tabs>
        <w:spacing w:after="0" w:line="240" w:lineRule="auto"/>
        <w:ind w:firstLine="1701"/>
        <w:jc w:val="both"/>
        <w:rPr>
          <w:rFonts w:eastAsia="Calibri" w:cs="Arial"/>
        </w:rPr>
      </w:pPr>
      <w:r>
        <w:rPr>
          <w:rFonts w:eastAsia="Calibri" w:cs="Arial"/>
        </w:rPr>
        <w:tab/>
      </w:r>
    </w:p>
    <w:p>
      <w:pPr>
        <w:tabs>
          <w:tab w:val="left" w:pos="1701"/>
          <w:tab w:val="left" w:pos="2166"/>
        </w:tabs>
        <w:spacing w:after="0" w:line="240" w:lineRule="auto"/>
        <w:ind w:firstLine="1701"/>
        <w:jc w:val="both"/>
        <w:rPr>
          <w:rFonts w:eastAsia="Calibri" w:cs="Arial"/>
        </w:rPr>
      </w:pPr>
      <w:r>
        <w:rPr>
          <w:rFonts w:eastAsia="Calibri" w:cs="Arial"/>
        </w:rPr>
        <w:t>Conclui-se que o Projeto de Lei nº 2629,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25</w:t>
      </w:r>
      <w:bookmarkStart w:id="0" w:name="_GoBack"/>
      <w:bookmarkEnd w:id="0"/>
      <w:r>
        <w:rPr>
          <w:rFonts w:eastAsia="Calibri" w:cs="Arial"/>
        </w:rPr>
        <w:t xml:space="preserve"> de junho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Vereadora Isabel de Oliveira Elias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 xml:space="preserve">Vereador Teodoro Jair </w:t>
      </w:r>
      <w:proofErr w:type="spellStart"/>
      <w:r>
        <w:rPr>
          <w:rFonts w:eastAsia="Calibri" w:cs="Arial"/>
        </w:rPr>
        <w:t>Dessbessel</w:t>
      </w:r>
      <w:proofErr w:type="spellEnd"/>
      <w:r>
        <w:rPr>
          <w:rFonts w:eastAsia="Calibri" w:cs="Arial"/>
        </w:rPr>
        <w:t xml:space="preserve">                                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289</Words>
  <Characters>1566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6</cp:revision>
  <cp:lastPrinted>2020-06-15T22:15:00Z</cp:lastPrinted>
  <dcterms:created xsi:type="dcterms:W3CDTF">2020-06-29T21:13:00Z</dcterms:created>
  <dcterms:modified xsi:type="dcterms:W3CDTF">2020-06-29T21:51:00Z</dcterms:modified>
</cp:coreProperties>
</file>