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10/2020 -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trinta dias do mês de abril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hAnsi="Times New Roman" w:cs="Times New Roman"/>
          <w:sz w:val="24"/>
          <w:szCs w:val="24"/>
        </w:rPr>
        <w:t>analisaram e emitiram parecer ao seguinte Projeto: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2618, de 23 de abril de 2020 – </w:t>
      </w:r>
      <w:r>
        <w:rPr>
          <w:rFonts w:ascii="Times New Roman" w:eastAsia="Calibri" w:hAnsi="Times New Roman" w:cs="Times New Roman"/>
          <w:sz w:val="24"/>
          <w:szCs w:val="24"/>
        </w:rPr>
        <w:t>Autoriza a contratação emergencial temporária, por tempo determinado, na forma do artigo 37, IX da Constituição Federal e artigo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8534-F464-4151-8730-4C768A64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2018-11-29T10:43:00Z</cp:lastPrinted>
  <dcterms:created xsi:type="dcterms:W3CDTF">2020-05-04T20:14:00Z</dcterms:created>
  <dcterms:modified xsi:type="dcterms:W3CDTF">2020-05-04T20:14:00Z</dcterms:modified>
</cp:coreProperties>
</file>