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25 DE JUNHO DE 2020.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2629, de 04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2631, de 15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DISPOE SOBRE A ALTERAÇÃO DO ART 4° E INCISO II DA LEI MUNICIPAL Nº 1.719, DE 29 ABRIL2009, ALTERAÇÃO DO ART. 11 DA LEI MUNICIPAL Nº 866 DE 05 DE JANEIRO 2000 E REVOGAÇÃO DA LEI MUNICIPAL Nº 2.348, DE 05 DE DEZEMBRO DE 2017 E DÁ OUTRAS PROVIDÊNCIAS.</w:t>
      </w:r>
    </w:p>
    <w:p>
      <w:pPr>
        <w:spacing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2632, de 15 de junho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sz w:val="28"/>
          <w:szCs w:val="28"/>
          <w:lang w:val="pt-PT"/>
        </w:rPr>
        <w:t>ALTERA O ARTIGO 4º, INCISO II, ALÍNEAS “A” E “E” DA LEI MUNICIPAL 2304/17, QUE DISPÕE SOBRE A CRIAÇÃO DO CONSELHO MUNICIPAL DE TRANSPORTE E TRÂNSITO, E DA OUTRAS PROVIDÊNCIAS.</w:t>
      </w:r>
    </w:p>
    <w:p>
      <w:pPr>
        <w:spacing w:line="360" w:lineRule="auto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5357F-EC9C-45E5-9888-BB4D229F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2020-06-29T21:05:00Z</dcterms:created>
  <dcterms:modified xsi:type="dcterms:W3CDTF">2020-06-29T21:05:00Z</dcterms:modified>
</cp:coreProperties>
</file>