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7056/2019</w:t>
      </w:r>
      <w:r>
        <w:rPr>
          <w:rFonts w:eastAsia="Calibri" w:cs="Arial"/>
        </w:rPr>
        <w:tab/>
        <w:t xml:space="preserve">                             </w:t>
      </w:r>
      <w:r>
        <w:rPr>
          <w:rFonts w:eastAsia="Calibri" w:cs="Arial"/>
          <w:b/>
        </w:rPr>
        <w:t>Data:</w:t>
      </w:r>
      <w:r>
        <w:rPr>
          <w:rFonts w:eastAsia="Calibri" w:cs="Arial"/>
        </w:rPr>
        <w:t xml:space="preserve"> 26 de dezembro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2587/2019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José Sérgio de Carvalho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conceder um abono salarial, para os agentes comunitários de saúde e agentes da estratégia da saúde da família com recursos de transferências de convênios,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t>Trata, a presente matéria, de Projeto de Lei de origem do Poder Executivo que tem como objetivo autorizar o Poder Executivo municipal a conceder um abono salarial, para os agentes comunitários de saúde e agentes da estratégia da saúde da família com recursos de transferências de convênios.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do projeto está correta, nos termos do art. 32, inciso II,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justifica-se para o pagamento do 14° salário aos Agentes Comunitários de Saúde e Agentes de Estratégia da Saúde e da Família, verba recebida e garantida através de convênio federal.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2587, está em condições de tramitar, visto que adequada a iniciativa e acompanhado de justificativa. Ademais, o projeto em análise veio acompanhado de comprovante de depósito do referido valor.</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07 de janeiro de 2020.</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Vereador José Sérgio de Carvalho</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40A4D-1113-4F41-9304-FF54E264E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2019-12-02T20:27:00Z</cp:lastPrinted>
  <dcterms:created xsi:type="dcterms:W3CDTF">2020-01-09T13:29:00Z</dcterms:created>
  <dcterms:modified xsi:type="dcterms:W3CDTF">2020-01-09T20:20:00Z</dcterms:modified>
</cp:coreProperties>
</file>