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7031/2019</w:t>
      </w:r>
      <w:r>
        <w:rPr>
          <w:rFonts w:eastAsia="Calibri" w:cs="Arial"/>
        </w:rPr>
        <w:tab/>
        <w:t xml:space="preserve">                             </w:t>
      </w:r>
      <w:r>
        <w:rPr>
          <w:rFonts w:eastAsia="Calibri" w:cs="Arial"/>
          <w:b/>
        </w:rPr>
        <w:t>Data:</w:t>
      </w:r>
      <w:r>
        <w:rPr>
          <w:rFonts w:eastAsia="Calibri" w:cs="Arial"/>
        </w:rPr>
        <w:t xml:space="preserve"> 28 de novembro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2584/2019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w:t>
      </w:r>
      <w:bookmarkStart w:id="0" w:name="_GoBack"/>
      <w:bookmarkEnd w:id="0"/>
      <w:r>
        <w:rPr>
          <w:rFonts w:eastAsia="Calibri" w:cs="Arial"/>
        </w:rPr>
        <w:t xml:space="preserve">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Autoriza o Poder Executivo municipal a realizar a abertura de crédito adicional especial no valor de R$ 1.000,00 (mil reais) no orçamento vigente e dá outras providências.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dispor sobre autorização para autorização para abertura de crédito adicional especial no valor de R$ 1.000,00 (mil reais) no orçamento vigente.</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para correta classificação contábil e orçamentária,</w:t>
      </w:r>
      <w:r>
        <w:t xml:space="preserve"> </w:t>
      </w:r>
      <w:r>
        <w:rPr>
          <w:rFonts w:eastAsia="Calibri" w:cs="Arial"/>
        </w:rPr>
        <w:t>e compreende os requisitos necessários para a abertura de crédito adicional especial, estando sob o respaldo do art. 41, inciso II, e do art. 43, § 1º, inciso III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2584,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06 de dezembro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C2B96-186E-432F-9BCC-F76B510E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2019-12-02T20:27:00Z</cp:lastPrinted>
  <dcterms:created xsi:type="dcterms:W3CDTF">2019-12-09T13:02:00Z</dcterms:created>
  <dcterms:modified xsi:type="dcterms:W3CDTF">2019-12-09T13:07:00Z</dcterms:modified>
</cp:coreProperties>
</file>