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6974/2019</w:t>
      </w:r>
      <w:r>
        <w:rPr>
          <w:rFonts w:eastAsia="Calibri" w:cs="Arial"/>
        </w:rPr>
        <w:tab/>
        <w:t xml:space="preserve">                             </w:t>
      </w:r>
      <w:r>
        <w:rPr>
          <w:rFonts w:eastAsia="Calibri" w:cs="Arial"/>
          <w:b/>
        </w:rPr>
        <w:t>Data:</w:t>
      </w:r>
      <w:r>
        <w:rPr>
          <w:rFonts w:eastAsia="Calibri" w:cs="Arial"/>
        </w:rPr>
        <w:t xml:space="preserve"> 01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197 da Lei 270/90 que dispõe sobre a contratação temporária de excepcional interesse público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alterar </w:t>
      </w:r>
      <w:r>
        <w:rPr>
          <w:rFonts w:eastAsia="Calibri" w:cs="Arial"/>
          <w:bCs/>
        </w:rPr>
        <w:t>o artigo 197 da Lei 270/90 que dispõe sobre a contratação temporária de excepcional interesse público e dá outras providências.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tendo em vista a necessidade de regularização do art. 197 da Lei 270/90, Regime Jurídico, onde consta quanto ao prazo de contratação temporária de seis meses, alterando-o, onde não poderão ultrapassar o prazo de um ano, trazendo assim melhorias as contratações efetuadas de maneira temporária com a continuidade do vínculo por um período maior tornando a prestação de serviços mais eficaz.</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2579, está em condições de tramitar, visto que adequada a iniciativa legislativa e acompanhado de justificativa.</w:t>
      </w:r>
    </w:p>
    <w:p>
      <w:pPr>
        <w:tabs>
          <w:tab w:val="left" w:pos="1701"/>
          <w:tab w:val="left" w:pos="5059"/>
        </w:tabs>
        <w:spacing w:after="0" w:line="240" w:lineRule="auto"/>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novembro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EF73-B551-43E7-9BA5-149AAF61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2019-11-07T12:00:00Z</cp:lastPrinted>
  <dcterms:created xsi:type="dcterms:W3CDTF">2019-11-06T12:24:00Z</dcterms:created>
  <dcterms:modified xsi:type="dcterms:W3CDTF">2019-11-07T12:00:00Z</dcterms:modified>
</cp:coreProperties>
</file>