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6958/2019</w:t>
      </w:r>
      <w:r>
        <w:rPr>
          <w:rFonts w:eastAsia="Calibri" w:cs="Arial"/>
        </w:rPr>
        <w:tab/>
        <w:t xml:space="preserve">                             </w:t>
      </w:r>
      <w:r>
        <w:rPr>
          <w:rFonts w:eastAsia="Calibri" w:cs="Arial"/>
          <w:b/>
        </w:rPr>
        <w:t>Data:</w:t>
      </w:r>
      <w:r>
        <w:rPr>
          <w:rFonts w:eastAsia="Calibri" w:cs="Arial"/>
        </w:rPr>
        <w:t xml:space="preserve"> 03 de outubro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2571/2019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R$ 398.302,71(trezentos e noventa e oito mil trezentos e dois reais e setenta e um centavos)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abertura de crédito adicional suplementar no valor de R$ 398.302,71(trezentos e noventa e oito mil trezentos e dois reais e setenta e um centavos).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conforme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Verifica-se que o Projeto de Lei compreende os requisitos necessários para a abertura de crédito adicional suplementar, estando sob o respaldo do art. 41, inciso I, e do art. 43, § 1º, inciso I da Lei no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aquisição de um mamógrafo analógico e um digitalizador de mesa para a realização de Raios-X.</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2571, está em condições de tramitar, visto que adequada a iniciativa legislativa, acompanhado de justificativa e de ata de aprovação do Conselho Municipal da Saúde.</w:t>
      </w:r>
      <w:r>
        <w:t xml:space="preserve"> </w:t>
      </w:r>
      <w:bookmarkStart w:id="0" w:name="_GoBack"/>
      <w:bookmarkEnd w:id="0"/>
      <w:r>
        <w:rPr>
          <w:rFonts w:eastAsia="Calibri" w:cs="Arial"/>
        </w:rPr>
        <w:t>Ressalta-se que o Poder Executivo encaminhou Mensagem Retificativa promovendo alterações no texto do projeto.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4808-7BF6-44F3-991F-022DD55E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2019-07-05T12:32:00Z</cp:lastPrinted>
  <dcterms:created xsi:type="dcterms:W3CDTF">2019-10-14T22:48:00Z</dcterms:created>
  <dcterms:modified xsi:type="dcterms:W3CDTF">2019-10-14T22:59:00Z</dcterms:modified>
</cp:coreProperties>
</file>