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31/2019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pintura das faixas de segurança nas proximidades da Escola </w:t>
      </w:r>
      <w:proofErr w:type="spellStart"/>
      <w:r>
        <w:rPr>
          <w:sz w:val="28"/>
          <w:szCs w:val="28"/>
        </w:rPr>
        <w:t>Siegfried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Hauser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Outrossim</w:t>
      </w:r>
      <w:proofErr w:type="gramEnd"/>
      <w:r>
        <w:rPr>
          <w:sz w:val="28"/>
          <w:szCs w:val="28"/>
        </w:rPr>
        <w:t>, solicita a pintura da quadra do Ginásio Municipal Elisiane da Costa Santos e das paredes na entrada do ginásio.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03 de outubro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Progressistas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8</cp:revision>
  <cp:lastPrinted>2019-10-03T12:14:00Z</cp:lastPrinted>
  <dcterms:created xsi:type="dcterms:W3CDTF">2019-10-03T12:00:00Z</dcterms:created>
  <dcterms:modified xsi:type="dcterms:W3CDTF">2019-10-03T12:30:00Z</dcterms:modified>
</cp:coreProperties>
</file>