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12/2019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>que o Poder Executivo Municipal altere requisito de provimento do cargo de Diretor de Educação Especial, para que o referido cargo seja provido por servidor efetivo com qualificação exigida em Lei.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Segue minuta do Projeto de Lei em anexo.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10 de outubro</w:t>
      </w:r>
      <w:bookmarkStart w:id="0" w:name="_GoBack"/>
      <w:bookmarkEnd w:id="0"/>
      <w:r>
        <w:rPr>
          <w:color w:val="000000"/>
          <w:sz w:val="26"/>
          <w:szCs w:val="26"/>
        </w:rPr>
        <w:t xml:space="preserve">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Sandro </w:t>
      </w:r>
      <w:proofErr w:type="spellStart"/>
      <w:r>
        <w:rPr>
          <w:color w:val="000000"/>
          <w:sz w:val="26"/>
          <w:szCs w:val="26"/>
        </w:rPr>
        <w:t>Drum</w:t>
      </w:r>
      <w:proofErr w:type="spellEnd"/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- MDB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3AFA-4AAC-4123-AFC5-6D29A3C2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2019-08-02T11:48:00Z</cp:lastPrinted>
  <dcterms:created xsi:type="dcterms:W3CDTF">2019-10-10T11:27:00Z</dcterms:created>
  <dcterms:modified xsi:type="dcterms:W3CDTF">2019-10-10T11:30:00Z</dcterms:modified>
</cp:coreProperties>
</file>