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6952/2019</w:t>
      </w:r>
      <w:r>
        <w:rPr>
          <w:rFonts w:eastAsia="Calibri" w:cs="Arial"/>
        </w:rPr>
        <w:tab/>
        <w:t xml:space="preserve">                             </w:t>
      </w:r>
      <w:r>
        <w:rPr>
          <w:rFonts w:eastAsia="Calibri" w:cs="Arial"/>
          <w:b/>
        </w:rPr>
        <w:t>Data:</w:t>
      </w:r>
      <w:r>
        <w:rPr>
          <w:rFonts w:eastAsia="Calibri" w:cs="Arial"/>
        </w:rPr>
        <w:t xml:space="preserve"> 19 de setembro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criar cinco cargos na categoria funcional de professor de educação infantil alterando a Lei n. 265/90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criação de cinco cargos na categoria funcional de professor de educação infantil alterando a Lei n. 265/90.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do projeto está correta, pois a criação de cargo é da competência do Prefeito, firme o art. 54, inciso XI, da Lei Orgânica do Município.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tendo em vista que, na época da abertura do Edital para o Concurso Público do Município, não era viável o aumento do número das vagas propostas devido ao índice da folha ter ultrapassado o percentual de 51,29%. No dia 22/08/2019 foi expedida pelo Tribunal de Contas do Estado a Certidão n. 6068/2019 onde consta que o índice atual está em 48,08% com gasto de pessoal. Desta forma, o atual índice permite o aumento de vagas do Concurso Público, como também, a nomeação dos classificados no Cadastro de Reserva.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2568, está em condições de tramitar, visto que adequada a iniciativa legislativa e acompanhado de justificativa. </w:t>
      </w:r>
      <w:r>
        <w:rPr>
          <w:rFonts w:eastAsia="Calibri" w:cs="Arial"/>
        </w:rPr>
        <w:t>Ressalta-se que o Poder Executivo encaminhou Mensagem retificativa promovendo alteraç</w:t>
      </w:r>
      <w:r>
        <w:rPr>
          <w:rFonts w:eastAsia="Calibri" w:cs="Arial"/>
        </w:rPr>
        <w:t>ões no texto do projeto para sete</w:t>
      </w:r>
      <w:r>
        <w:rPr>
          <w:rFonts w:eastAsia="Calibri" w:cs="Arial"/>
        </w:rPr>
        <w:t xml:space="preserve"> cargos na categoria funcional de professor de educação infantil</w:t>
      </w:r>
      <w:r>
        <w:rPr>
          <w:rFonts w:eastAsia="Calibri" w:cs="Arial"/>
        </w:rPr>
        <w:t>.</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outubro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4D5F-5765-4341-938B-B3D5CBF3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2019-07-05T12:32:00Z</cp:lastPrinted>
  <dcterms:created xsi:type="dcterms:W3CDTF">2019-10-21T11:51:00Z</dcterms:created>
  <dcterms:modified xsi:type="dcterms:W3CDTF">2019-10-25T14:05:00Z</dcterms:modified>
</cp:coreProperties>
</file>