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74/2019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6940/2019</w:t>
      </w:r>
      <w:r>
        <w:rPr>
          <w:rFonts w:eastAsia="Calibri" w:cs="Arial"/>
        </w:rPr>
        <w:tab/>
        <w:t xml:space="preserve">                             </w:t>
      </w:r>
      <w:r>
        <w:rPr>
          <w:rFonts w:eastAsia="Calibri" w:cs="Arial"/>
          <w:b/>
        </w:rPr>
        <w:t>Data:</w:t>
      </w:r>
      <w:r>
        <w:rPr>
          <w:rFonts w:eastAsia="Calibri" w:cs="Arial"/>
        </w:rPr>
        <w:t xml:space="preserve"> 05 de setembro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PLC 2556/2019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rPr>
        <w:tab/>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Altera o caput do artigo 68 e inciso I do artigo 118 da Lei Municipal 218/89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legislativa para alteração do caput do artigo 68 e inciso I do artigo 118 da Lei Municipal 218/89.</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 xml:space="preserve">Na análise, observa-se que o Município possui capacidade </w:t>
      </w:r>
      <w:proofErr w:type="spellStart"/>
      <w:r>
        <w:rPr>
          <w:rFonts w:eastAsia="Calibri" w:cs="Arial"/>
        </w:rPr>
        <w:t>legiferante</w:t>
      </w:r>
      <w:proofErr w:type="spellEnd"/>
      <w:r>
        <w:rPr>
          <w:rFonts w:eastAsia="Calibri" w:cs="Arial"/>
        </w:rPr>
        <w:t xml:space="preserve"> para regulamentar e propor alteração no Código Tributário Municipal, nos termos do art. 30, inciso I e III da Constituição da República.</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Em relação ao mérito, a proposição visa alterar o caput do art. 68 do referido CTM, tornando a base de cálculo variável, e não fixa como previsto na mencionada norma a ser modificada, assim como visa </w:t>
      </w:r>
      <w:proofErr w:type="gramStart"/>
      <w:r>
        <w:rPr>
          <w:rFonts w:eastAsia="Calibri" w:cs="Arial"/>
        </w:rPr>
        <w:t>a</w:t>
      </w:r>
      <w:proofErr w:type="gramEnd"/>
      <w:r>
        <w:rPr>
          <w:rFonts w:eastAsia="Calibri" w:cs="Arial"/>
        </w:rPr>
        <w:t xml:space="preserve"> alteração do inciso I do art. 118, do CTM, constando o mês de janeiro e, não mais o mês de maio, para a arrecadação do IPTU e taxas correlatas, com o intuito adequá-los às formalidades requeridas pela Secretaria da Fazenda e Setor de Arrecadação.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Complementar nº 2556, está em condições de tramitar, visto que adequada a iniciativa legislativa e acompanhado de justificativa.</w:t>
      </w:r>
    </w:p>
    <w:p>
      <w:pPr>
        <w:tabs>
          <w:tab w:val="left" w:pos="1701"/>
          <w:tab w:val="left" w:pos="5059"/>
        </w:tabs>
        <w:spacing w:after="0" w:line="240" w:lineRule="auto"/>
        <w:ind w:firstLine="1701"/>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03 de outubro</w:t>
      </w:r>
      <w:bookmarkStart w:id="0" w:name="_GoBack"/>
      <w:bookmarkEnd w:id="0"/>
      <w:r>
        <w:rPr>
          <w:rFonts w:eastAsia="Calibri" w:cs="Arial"/>
        </w:rPr>
        <w:t xml:space="preserve"> de 2019.</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Sandro </w:t>
      </w:r>
      <w:proofErr w:type="spellStart"/>
      <w:r>
        <w:rPr>
          <w:rFonts w:eastAsia="Calibri" w:cs="Arial"/>
        </w:rPr>
        <w:t>Drum</w:t>
      </w:r>
      <w:proofErr w:type="spellEnd"/>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DB979-11BE-4EA1-A923-F6FECD90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1558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2019-07-05T12:32:00Z</cp:lastPrinted>
  <dcterms:created xsi:type="dcterms:W3CDTF">2019-10-07T10:12:00Z</dcterms:created>
  <dcterms:modified xsi:type="dcterms:W3CDTF">2019-10-07T10:15:00Z</dcterms:modified>
</cp:coreProperties>
</file>