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1418"/>
          <w:tab w:val="left" w:pos="5059"/>
        </w:tabs>
        <w:spacing w:after="0" w:line="240" w:lineRule="auto"/>
        <w:jc w:val="center"/>
        <w:rPr>
          <w:rFonts w:eastAsia="Calibri" w:cs="Arial"/>
          <w:b/>
        </w:rPr>
      </w:pPr>
    </w:p>
    <w:p>
      <w:pPr>
        <w:tabs>
          <w:tab w:val="left" w:pos="1418"/>
          <w:tab w:val="left" w:pos="5059"/>
        </w:tabs>
        <w:spacing w:after="0" w:line="240" w:lineRule="auto"/>
        <w:jc w:val="center"/>
        <w:rPr>
          <w:rFonts w:eastAsia="Calibri" w:cs="Arial"/>
          <w:b/>
        </w:rPr>
      </w:pPr>
    </w:p>
    <w:p>
      <w:pPr>
        <w:tabs>
          <w:tab w:val="left" w:pos="1418"/>
          <w:tab w:val="left" w:pos="5059"/>
        </w:tabs>
        <w:spacing w:after="0" w:line="240" w:lineRule="auto"/>
        <w:jc w:val="center"/>
        <w:rPr>
          <w:rFonts w:eastAsia="Calibri" w:cs="Arial"/>
          <w:b/>
        </w:rPr>
      </w:pPr>
    </w:p>
    <w:p>
      <w:pPr>
        <w:tabs>
          <w:tab w:val="left" w:pos="1418"/>
          <w:tab w:val="left" w:pos="5059"/>
        </w:tabs>
        <w:spacing w:after="0" w:line="240" w:lineRule="auto"/>
        <w:jc w:val="center"/>
        <w:rPr>
          <w:rFonts w:eastAsia="Calibri" w:cs="Arial"/>
          <w:b/>
        </w:rPr>
      </w:pPr>
      <w:r>
        <w:rPr>
          <w:rFonts w:eastAsia="Calibri" w:cs="Arial"/>
          <w:b/>
        </w:rPr>
        <w:t>COMISSÃO DE ORÇAMENTO E FINANÇAS</w:t>
      </w:r>
    </w:p>
    <w:p>
      <w:pPr>
        <w:tabs>
          <w:tab w:val="left" w:pos="1418"/>
          <w:tab w:val="left" w:pos="5059"/>
        </w:tabs>
        <w:spacing w:after="0" w:line="240" w:lineRule="auto"/>
        <w:jc w:val="center"/>
        <w:rPr>
          <w:rFonts w:eastAsia="Calibri" w:cs="Arial"/>
          <w:b/>
        </w:rPr>
      </w:pPr>
    </w:p>
    <w:p>
      <w:pPr>
        <w:tabs>
          <w:tab w:val="left" w:pos="1418"/>
          <w:tab w:val="left" w:pos="5059"/>
        </w:tabs>
        <w:spacing w:after="0" w:line="240" w:lineRule="auto"/>
        <w:jc w:val="both"/>
        <w:rPr>
          <w:rFonts w:eastAsia="Calibri" w:cs="Arial"/>
        </w:rPr>
      </w:pPr>
      <w:r>
        <w:rPr>
          <w:rFonts w:eastAsia="Calibri" w:cs="Arial"/>
          <w:b/>
        </w:rPr>
        <w:t>Parecer:</w:t>
      </w:r>
      <w:r>
        <w:rPr>
          <w:rFonts w:eastAsia="Calibri" w:cs="Arial"/>
        </w:rPr>
        <w:t xml:space="preserve"> 74/2019</w:t>
      </w:r>
    </w:p>
    <w:p>
      <w:pPr>
        <w:tabs>
          <w:tab w:val="left" w:pos="1418"/>
          <w:tab w:val="left" w:pos="4253"/>
        </w:tabs>
        <w:spacing w:after="0" w:line="240" w:lineRule="auto"/>
        <w:jc w:val="both"/>
        <w:rPr>
          <w:rFonts w:eastAsia="Calibri" w:cs="Arial"/>
        </w:rPr>
      </w:pPr>
      <w:r>
        <w:rPr>
          <w:rFonts w:eastAsia="Calibri" w:cs="Arial"/>
          <w:b/>
        </w:rPr>
        <w:t>Processo:</w:t>
      </w:r>
      <w:r>
        <w:rPr>
          <w:rFonts w:eastAsia="Calibri" w:cs="Arial"/>
        </w:rPr>
        <w:t xml:space="preserve"> 6940/2019</w:t>
      </w:r>
      <w:r>
        <w:rPr>
          <w:rFonts w:eastAsia="Calibri" w:cs="Arial"/>
        </w:rPr>
        <w:tab/>
        <w:t xml:space="preserve">                             </w:t>
      </w:r>
      <w:r>
        <w:rPr>
          <w:rFonts w:eastAsia="Calibri" w:cs="Arial"/>
          <w:b/>
        </w:rPr>
        <w:t>Data:</w:t>
      </w:r>
      <w:r>
        <w:rPr>
          <w:rFonts w:eastAsia="Calibri" w:cs="Arial"/>
        </w:rPr>
        <w:t xml:space="preserve"> 05 de setembro de 2019</w:t>
      </w:r>
    </w:p>
    <w:p>
      <w:pPr>
        <w:tabs>
          <w:tab w:val="left" w:pos="1418"/>
        </w:tabs>
        <w:spacing w:after="0" w:line="240" w:lineRule="auto"/>
        <w:jc w:val="both"/>
        <w:rPr>
          <w:rFonts w:eastAsia="Calibri" w:cs="Arial"/>
        </w:rPr>
      </w:pPr>
      <w:r>
        <w:rPr>
          <w:rFonts w:eastAsia="Calibri" w:cs="Arial"/>
          <w:b/>
        </w:rPr>
        <w:t>Matéria:</w:t>
      </w:r>
      <w:r>
        <w:rPr>
          <w:rFonts w:eastAsia="Calibri" w:cs="Arial"/>
        </w:rPr>
        <w:t xml:space="preserve"> PLC 2556/2019</w:t>
      </w:r>
      <w:r>
        <w:rPr>
          <w:rFonts w:eastAsia="Calibri" w:cs="Arial"/>
        </w:rPr>
        <w:tab/>
        <w:t xml:space="preserve">                                                          </w:t>
      </w:r>
      <w:r>
        <w:rPr>
          <w:rFonts w:eastAsia="Calibri" w:cs="Arial"/>
          <w:b/>
        </w:rPr>
        <w:t>Autor:</w:t>
      </w:r>
      <w:r>
        <w:rPr>
          <w:rFonts w:eastAsia="Calibri" w:cs="Arial"/>
        </w:rPr>
        <w:t xml:space="preserve"> Poder Executivo</w:t>
      </w:r>
    </w:p>
    <w:p>
      <w:pPr>
        <w:tabs>
          <w:tab w:val="left" w:pos="1418"/>
          <w:tab w:val="left" w:pos="4253"/>
        </w:tabs>
        <w:spacing w:after="0" w:line="240" w:lineRule="auto"/>
        <w:jc w:val="both"/>
        <w:rPr>
          <w:rFonts w:eastAsia="Calibri" w:cs="Arial"/>
        </w:rPr>
      </w:pPr>
      <w:r>
        <w:rPr>
          <w:rFonts w:eastAsia="Calibri" w:cs="Arial"/>
          <w:b/>
        </w:rPr>
        <w:t>Relator:</w:t>
      </w:r>
      <w:r>
        <w:rPr>
          <w:rFonts w:eastAsia="Calibri" w:cs="Arial"/>
        </w:rPr>
        <w:t xml:space="preserve"> Vereador Sandro </w:t>
      </w:r>
      <w:proofErr w:type="spellStart"/>
      <w:r>
        <w:rPr>
          <w:rFonts w:eastAsia="Calibri" w:cs="Arial"/>
        </w:rPr>
        <w:t>Drum</w:t>
      </w:r>
      <w:proofErr w:type="spellEnd"/>
      <w:r>
        <w:rPr>
          <w:rFonts w:eastAsia="Calibri" w:cs="Arial"/>
        </w:rPr>
        <w:t xml:space="preserve">                                           </w:t>
      </w:r>
      <w:r>
        <w:rPr>
          <w:rFonts w:eastAsia="Calibri" w:cs="Arial"/>
        </w:rPr>
        <w:tab/>
        <w:t xml:space="preserve"> </w:t>
      </w:r>
      <w:r>
        <w:rPr>
          <w:rFonts w:eastAsia="Calibri" w:cs="Arial"/>
          <w:b/>
        </w:rPr>
        <w:t>Conclusão do Voto:</w:t>
      </w:r>
      <w:r>
        <w:rPr>
          <w:rFonts w:eastAsia="Calibri" w:cs="Arial"/>
        </w:rPr>
        <w:t xml:space="preserve"> Favorável </w:t>
      </w:r>
    </w:p>
    <w:p>
      <w:pPr>
        <w:tabs>
          <w:tab w:val="left" w:pos="1418"/>
          <w:tab w:val="left" w:pos="5059"/>
        </w:tabs>
        <w:spacing w:after="0" w:line="240" w:lineRule="auto"/>
        <w:jc w:val="both"/>
        <w:rPr>
          <w:rFonts w:eastAsia="Calibri" w:cs="Arial"/>
          <w:bCs/>
        </w:rPr>
      </w:pPr>
      <w:r>
        <w:rPr>
          <w:rFonts w:eastAsia="Calibri" w:cs="Arial"/>
          <w:b/>
        </w:rPr>
        <w:t xml:space="preserve">Ementa: </w:t>
      </w:r>
      <w:r>
        <w:rPr>
          <w:rFonts w:eastAsia="Calibri" w:cs="Arial"/>
          <w:bCs/>
        </w:rPr>
        <w:t>Altera o caput do artigo 68 e inciso I do artigo 118 da Lei Municipal 218/89 e dá outras providências.</w:t>
      </w:r>
    </w:p>
    <w:p>
      <w:pPr>
        <w:tabs>
          <w:tab w:val="left" w:pos="1418"/>
          <w:tab w:val="left" w:pos="5059"/>
        </w:tabs>
        <w:spacing w:after="0" w:line="240" w:lineRule="auto"/>
        <w:jc w:val="both"/>
        <w:rPr>
          <w:rFonts w:eastAsia="Calibri" w:cs="Arial"/>
        </w:rPr>
      </w:pPr>
    </w:p>
    <w:p>
      <w:pPr>
        <w:tabs>
          <w:tab w:val="left" w:pos="1418"/>
          <w:tab w:val="left" w:pos="5059"/>
        </w:tabs>
        <w:spacing w:after="0" w:line="240" w:lineRule="auto"/>
        <w:jc w:val="center"/>
        <w:rPr>
          <w:rFonts w:eastAsia="Calibri" w:cs="Arial"/>
          <w:b/>
        </w:rPr>
      </w:pPr>
      <w:r>
        <w:rPr>
          <w:rFonts w:eastAsia="Calibri" w:cs="Arial"/>
          <w:b/>
        </w:rPr>
        <w:t>Relatório:</w:t>
      </w:r>
    </w:p>
    <w:p>
      <w:pPr>
        <w:tabs>
          <w:tab w:val="left" w:pos="1418"/>
          <w:tab w:val="left" w:pos="5059"/>
        </w:tabs>
        <w:spacing w:after="0" w:line="240" w:lineRule="auto"/>
        <w:jc w:val="center"/>
        <w:rPr>
          <w:rFonts w:eastAsia="Calibri" w:cs="Arial"/>
          <w:b/>
        </w:rPr>
      </w:pPr>
    </w:p>
    <w:p>
      <w:pPr>
        <w:tabs>
          <w:tab w:val="left" w:pos="1701"/>
          <w:tab w:val="left" w:pos="5059"/>
        </w:tabs>
        <w:spacing w:after="0" w:line="240" w:lineRule="auto"/>
        <w:jc w:val="both"/>
        <w:rPr>
          <w:rFonts w:eastAsia="Calibri" w:cs="Arial"/>
        </w:rPr>
      </w:pPr>
      <w:r>
        <w:rPr>
          <w:rFonts w:eastAsia="Calibri" w:cs="Arial"/>
        </w:rPr>
        <w:t>1.</w:t>
      </w:r>
      <w:r>
        <w:rPr>
          <w:rFonts w:eastAsia="Calibri" w:cs="Arial"/>
        </w:rPr>
        <w:tab/>
        <w:t>Trata, a presente matéria, de Projeto de Lei de origem do Poder Executivo que tem como objetivo pedido de autorização legislativa para alteração do caput do artigo 68 e inciso I do artigo 118 da Lei Municipal 218/89.</w:t>
      </w:r>
    </w:p>
    <w:p>
      <w:pPr>
        <w:tabs>
          <w:tab w:val="left" w:pos="1701"/>
          <w:tab w:val="left" w:pos="5059"/>
        </w:tabs>
        <w:spacing w:after="0" w:line="240" w:lineRule="auto"/>
        <w:jc w:val="both"/>
        <w:rPr>
          <w:rFonts w:eastAsia="Calibri" w:cs="Arial"/>
        </w:rPr>
      </w:pPr>
    </w:p>
    <w:p>
      <w:pPr>
        <w:tabs>
          <w:tab w:val="left" w:pos="1418"/>
          <w:tab w:val="left" w:pos="5059"/>
        </w:tabs>
        <w:spacing w:after="0" w:line="240" w:lineRule="auto"/>
        <w:jc w:val="center"/>
        <w:rPr>
          <w:rFonts w:eastAsia="Calibri" w:cs="Arial"/>
          <w:b/>
        </w:rPr>
      </w:pPr>
      <w:r>
        <w:rPr>
          <w:rFonts w:eastAsia="Calibri" w:cs="Arial"/>
          <w:b/>
        </w:rPr>
        <w:t>Análise:</w:t>
      </w:r>
    </w:p>
    <w:p>
      <w:pPr>
        <w:tabs>
          <w:tab w:val="left" w:pos="1418"/>
          <w:tab w:val="left" w:pos="5059"/>
        </w:tabs>
        <w:spacing w:after="0" w:line="240" w:lineRule="auto"/>
        <w:jc w:val="center"/>
        <w:rPr>
          <w:rFonts w:eastAsia="Calibri" w:cs="Arial"/>
          <w:b/>
        </w:rPr>
      </w:pPr>
    </w:p>
    <w:p>
      <w:pPr>
        <w:tabs>
          <w:tab w:val="left" w:pos="1701"/>
          <w:tab w:val="left" w:pos="5059"/>
        </w:tabs>
        <w:spacing w:after="0" w:line="240" w:lineRule="auto"/>
        <w:jc w:val="both"/>
        <w:rPr>
          <w:rFonts w:eastAsia="Calibri" w:cs="Arial"/>
        </w:rPr>
      </w:pPr>
      <w:r>
        <w:rPr>
          <w:rFonts w:eastAsia="Calibri" w:cs="Arial"/>
        </w:rPr>
        <w:t>2.</w:t>
      </w:r>
      <w:r>
        <w:rPr>
          <w:rFonts w:eastAsia="Calibri" w:cs="Arial"/>
        </w:rPr>
        <w:tab/>
        <w:t xml:space="preserve">Na análise, observa-se que o Município possui capacidade </w:t>
      </w:r>
      <w:proofErr w:type="spellStart"/>
      <w:r>
        <w:rPr>
          <w:rFonts w:eastAsia="Calibri" w:cs="Arial"/>
        </w:rPr>
        <w:t>legiferante</w:t>
      </w:r>
      <w:proofErr w:type="spellEnd"/>
      <w:r>
        <w:rPr>
          <w:rFonts w:eastAsia="Calibri" w:cs="Arial"/>
        </w:rPr>
        <w:t xml:space="preserve"> para regulamentar e propor alteração no Código Tributário Municipal, nos termos do art. 30, inciso I e III da Constituição da República.</w:t>
      </w:r>
    </w:p>
    <w:p>
      <w:pPr>
        <w:tabs>
          <w:tab w:val="left" w:pos="1701"/>
          <w:tab w:val="left" w:pos="5059"/>
        </w:tabs>
        <w:spacing w:after="0" w:line="240" w:lineRule="auto"/>
        <w:jc w:val="both"/>
        <w:rPr>
          <w:rFonts w:eastAsia="Calibri" w:cs="Arial"/>
        </w:rPr>
      </w:pPr>
    </w:p>
    <w:p>
      <w:pPr>
        <w:tabs>
          <w:tab w:val="left" w:pos="1701"/>
          <w:tab w:val="left" w:pos="5059"/>
        </w:tabs>
        <w:spacing w:after="0" w:line="240" w:lineRule="auto"/>
        <w:ind w:firstLine="1701"/>
        <w:jc w:val="both"/>
        <w:rPr>
          <w:rFonts w:eastAsia="Calibri" w:cs="Arial"/>
        </w:rPr>
      </w:pPr>
      <w:r>
        <w:rPr>
          <w:rFonts w:eastAsia="Calibri" w:cs="Arial"/>
        </w:rPr>
        <w:t xml:space="preserve">Em relação ao mérito, a proposição visa alterar o caput do art. 68 do referido CTM, tornando a base de cálculo variável, e não fixa como previsto na mencionada norma a ser modificada, assim como visa </w:t>
      </w:r>
      <w:proofErr w:type="gramStart"/>
      <w:r>
        <w:rPr>
          <w:rFonts w:eastAsia="Calibri" w:cs="Arial"/>
        </w:rPr>
        <w:t>a</w:t>
      </w:r>
      <w:proofErr w:type="gramEnd"/>
      <w:r>
        <w:rPr>
          <w:rFonts w:eastAsia="Calibri" w:cs="Arial"/>
        </w:rPr>
        <w:t xml:space="preserve"> alteração do inciso I do art. 118, do CTM, constando o mês de janeiro e, não mais o mês de maio, para a arrecadação do IPTU e taxas correlatas, com o intuito adequá-los às formalidades requeridas pela Secretaria da Fazenda e Setor de Arrecadação.</w:t>
      </w:r>
    </w:p>
    <w:p>
      <w:pPr>
        <w:tabs>
          <w:tab w:val="left" w:pos="1701"/>
          <w:tab w:val="left" w:pos="5059"/>
        </w:tabs>
        <w:spacing w:after="0" w:line="240" w:lineRule="auto"/>
        <w:ind w:firstLine="1701"/>
        <w:jc w:val="both"/>
        <w:rPr>
          <w:rFonts w:eastAsia="Calibri" w:cs="Arial"/>
        </w:rPr>
      </w:pPr>
    </w:p>
    <w:p>
      <w:pPr>
        <w:tabs>
          <w:tab w:val="left" w:pos="1701"/>
          <w:tab w:val="left" w:pos="5059"/>
        </w:tabs>
        <w:spacing w:after="0" w:line="240" w:lineRule="auto"/>
        <w:ind w:firstLine="1701"/>
        <w:jc w:val="both"/>
        <w:rPr>
          <w:rFonts w:eastAsia="Calibri" w:cs="Arial"/>
        </w:rPr>
      </w:pPr>
      <w:r>
        <w:rPr>
          <w:rFonts w:eastAsia="Calibri" w:cs="Arial"/>
        </w:rPr>
        <w:t>Conclui-se que o Projeto de Lei Complementar nº 2556, está em condições de tramitar, visto que adequada a iniciativa legislativa e acompanhado de justificativa.</w:t>
      </w:r>
    </w:p>
    <w:p>
      <w:pPr>
        <w:tabs>
          <w:tab w:val="left" w:pos="1701"/>
          <w:tab w:val="left" w:pos="5059"/>
        </w:tabs>
        <w:spacing w:after="0" w:line="240" w:lineRule="auto"/>
        <w:ind w:firstLine="1701"/>
        <w:jc w:val="both"/>
        <w:rPr>
          <w:rFonts w:eastAsia="Calibri" w:cs="Arial"/>
          <w:b/>
        </w:rPr>
      </w:pPr>
    </w:p>
    <w:p>
      <w:pPr>
        <w:tabs>
          <w:tab w:val="left" w:pos="1418"/>
          <w:tab w:val="left" w:pos="5059"/>
        </w:tabs>
        <w:spacing w:after="0" w:line="240" w:lineRule="auto"/>
        <w:jc w:val="center"/>
        <w:rPr>
          <w:rFonts w:eastAsia="Calibri" w:cs="Arial"/>
          <w:b/>
        </w:rPr>
      </w:pPr>
      <w:r>
        <w:rPr>
          <w:rFonts w:eastAsia="Calibri" w:cs="Arial"/>
          <w:b/>
        </w:rPr>
        <w:t>Conclusão do Voto:</w:t>
      </w:r>
    </w:p>
    <w:p>
      <w:pPr>
        <w:tabs>
          <w:tab w:val="left" w:pos="1418"/>
          <w:tab w:val="left" w:pos="5059"/>
        </w:tabs>
        <w:spacing w:after="0" w:line="240" w:lineRule="auto"/>
        <w:jc w:val="both"/>
        <w:rPr>
          <w:rFonts w:eastAsia="Calibri" w:cs="Arial"/>
        </w:rPr>
      </w:pPr>
    </w:p>
    <w:p>
      <w:pPr>
        <w:tabs>
          <w:tab w:val="left" w:pos="1701"/>
          <w:tab w:val="left" w:pos="5059"/>
        </w:tabs>
        <w:spacing w:after="0" w:line="240" w:lineRule="auto"/>
        <w:jc w:val="both"/>
        <w:rPr>
          <w:rFonts w:eastAsia="Calibri" w:cs="Arial"/>
        </w:rPr>
      </w:pPr>
      <w:r>
        <w:rPr>
          <w:rFonts w:eastAsia="Calibri" w:cs="Arial"/>
        </w:rPr>
        <w:t>3.</w:t>
      </w:r>
      <w:r>
        <w:rPr>
          <w:rFonts w:eastAsia="Calibri" w:cs="Arial"/>
        </w:rPr>
        <w:tab/>
        <w:t>Pelos fundamentos declinados neste Parecer, esta Relatoria opina que o Projeto de Lei em exame está adequado, devendo a matéria seguir seu curso regimental.</w:t>
      </w:r>
    </w:p>
    <w:p>
      <w:pPr>
        <w:tabs>
          <w:tab w:val="left" w:pos="1701"/>
          <w:tab w:val="left" w:pos="5059"/>
        </w:tabs>
        <w:spacing w:after="0" w:line="240" w:lineRule="auto"/>
        <w:jc w:val="both"/>
        <w:rPr>
          <w:rFonts w:eastAsia="Calibri" w:cs="Arial"/>
        </w:rPr>
      </w:pPr>
    </w:p>
    <w:p>
      <w:pPr>
        <w:tabs>
          <w:tab w:val="left" w:pos="1418"/>
          <w:tab w:val="left" w:pos="5059"/>
        </w:tabs>
        <w:spacing w:after="0" w:line="240" w:lineRule="auto"/>
        <w:jc w:val="both"/>
        <w:rPr>
          <w:rFonts w:eastAsia="Calibri" w:cs="Arial"/>
        </w:rPr>
      </w:pPr>
    </w:p>
    <w:p>
      <w:pPr>
        <w:tabs>
          <w:tab w:val="left" w:pos="1701"/>
          <w:tab w:val="left" w:pos="5059"/>
        </w:tabs>
        <w:spacing w:after="0" w:line="240" w:lineRule="auto"/>
        <w:jc w:val="both"/>
        <w:rPr>
          <w:rFonts w:eastAsia="Calibri" w:cs="Arial"/>
        </w:rPr>
      </w:pPr>
      <w:r>
        <w:rPr>
          <w:rFonts w:eastAsia="Calibri" w:cs="Arial"/>
        </w:rPr>
        <w:tab/>
        <w:t>Sala das Comissões, em 03 de outubro</w:t>
      </w:r>
      <w:bookmarkStart w:id="0" w:name="_GoBack"/>
      <w:bookmarkEnd w:id="0"/>
      <w:r>
        <w:rPr>
          <w:rFonts w:eastAsia="Calibri" w:cs="Arial"/>
        </w:rPr>
        <w:t xml:space="preserve"> de 2019.</w:t>
      </w:r>
    </w:p>
    <w:p>
      <w:pPr>
        <w:tabs>
          <w:tab w:val="left" w:pos="1701"/>
          <w:tab w:val="left" w:pos="5059"/>
        </w:tabs>
        <w:spacing w:after="0" w:line="240" w:lineRule="auto"/>
        <w:jc w:val="both"/>
        <w:rPr>
          <w:rFonts w:eastAsia="Calibri" w:cs="Arial"/>
        </w:rPr>
      </w:pPr>
    </w:p>
    <w:p>
      <w:pPr>
        <w:tabs>
          <w:tab w:val="left" w:pos="1418"/>
          <w:tab w:val="left" w:pos="5059"/>
        </w:tabs>
        <w:spacing w:after="0" w:line="240" w:lineRule="auto"/>
        <w:jc w:val="both"/>
        <w:rPr>
          <w:rFonts w:eastAsia="Calibri" w:cs="Arial"/>
        </w:rPr>
      </w:pPr>
    </w:p>
    <w:p>
      <w:pPr>
        <w:tabs>
          <w:tab w:val="left" w:pos="1418"/>
          <w:tab w:val="left" w:pos="5059"/>
        </w:tabs>
        <w:spacing w:after="0" w:line="240" w:lineRule="auto"/>
        <w:jc w:val="center"/>
        <w:rPr>
          <w:rFonts w:eastAsia="Calibri" w:cs="Arial"/>
        </w:rPr>
      </w:pPr>
      <w:r>
        <w:rPr>
          <w:rFonts w:eastAsia="Calibri" w:cs="Arial"/>
        </w:rPr>
        <w:t xml:space="preserve">Vereador Sandro </w:t>
      </w:r>
      <w:proofErr w:type="spellStart"/>
      <w:r>
        <w:rPr>
          <w:rFonts w:eastAsia="Calibri" w:cs="Arial"/>
        </w:rPr>
        <w:t>Drum</w:t>
      </w:r>
      <w:proofErr w:type="spellEnd"/>
    </w:p>
    <w:p>
      <w:pPr>
        <w:tabs>
          <w:tab w:val="left" w:pos="1418"/>
          <w:tab w:val="left" w:pos="5059"/>
        </w:tabs>
        <w:spacing w:after="0" w:line="240" w:lineRule="auto"/>
        <w:jc w:val="both"/>
        <w:rPr>
          <w:rFonts w:eastAsia="Calibri" w:cs="Arial"/>
        </w:rPr>
      </w:pPr>
    </w:p>
    <w:p>
      <w:pPr>
        <w:tabs>
          <w:tab w:val="left" w:pos="1418"/>
          <w:tab w:val="left" w:pos="5059"/>
        </w:tabs>
        <w:spacing w:after="0" w:line="240" w:lineRule="auto"/>
        <w:jc w:val="both"/>
        <w:rPr>
          <w:rFonts w:eastAsia="Calibri" w:cs="Arial"/>
          <w:b/>
        </w:rPr>
      </w:pPr>
      <w:r>
        <w:rPr>
          <w:rFonts w:eastAsia="Calibri" w:cs="Arial"/>
          <w:b/>
        </w:rPr>
        <w:t>Pelas conclusões:</w:t>
      </w:r>
    </w:p>
    <w:p>
      <w:pPr>
        <w:tabs>
          <w:tab w:val="left" w:pos="1418"/>
          <w:tab w:val="left" w:pos="5059"/>
        </w:tabs>
        <w:spacing w:after="0" w:line="240" w:lineRule="auto"/>
        <w:rPr>
          <w:rFonts w:eastAsia="Calibri" w:cs="Arial"/>
        </w:rPr>
      </w:pPr>
    </w:p>
    <w:p>
      <w:pPr>
        <w:tabs>
          <w:tab w:val="left" w:pos="1418"/>
          <w:tab w:val="left" w:pos="5059"/>
        </w:tabs>
        <w:spacing w:after="0" w:line="240" w:lineRule="auto"/>
        <w:rPr>
          <w:rFonts w:eastAsia="Calibri" w:cs="Calibri"/>
        </w:rPr>
      </w:pPr>
      <w:r>
        <w:rPr>
          <w:rFonts w:eastAsia="Calibri" w:cs="Arial"/>
        </w:rPr>
        <w:t xml:space="preserve">Vereador Loreno </w:t>
      </w:r>
      <w:proofErr w:type="spellStart"/>
      <w:r>
        <w:rPr>
          <w:rFonts w:eastAsia="Calibri" w:cs="Arial"/>
        </w:rPr>
        <w:t>Feix</w:t>
      </w:r>
      <w:proofErr w:type="spellEnd"/>
      <w:r>
        <w:rPr>
          <w:rFonts w:eastAsia="Calibri" w:cs="Arial"/>
        </w:rPr>
        <w:tab/>
        <w:t xml:space="preserve">Vereador </w:t>
      </w:r>
      <w:proofErr w:type="spellStart"/>
      <w:r>
        <w:rPr>
          <w:rFonts w:eastAsia="Calibri" w:cs="Arial"/>
        </w:rPr>
        <w:t>Jucimar</w:t>
      </w:r>
      <w:proofErr w:type="spellEnd"/>
      <w:r>
        <w:rPr>
          <w:rFonts w:eastAsia="Calibri" w:cs="Arial"/>
        </w:rPr>
        <w:t xml:space="preserve"> Borges da Silveira</w:t>
      </w:r>
    </w:p>
    <w:sect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har,Char Char Char,Char Char Char Char Char,Char Char Char Char, Char, Char Char Char,Texto de nota de rodapé Char2,Char Char2,Char Char1,Char Char Char Char1,Char Char Char Char Char Char1,Char Char2 Char1"/>
    <w:basedOn w:val="Normal"/>
    <w:link w:val="TextodenotaderodapChar"/>
    <w:pPr>
      <w:tabs>
        <w:tab w:val="left" w:pos="1418"/>
      </w:tabs>
      <w:spacing w:after="0" w:line="240" w:lineRule="auto"/>
      <w:jc w:val="both"/>
    </w:pPr>
    <w:rPr>
      <w:rFonts w:ascii="Arial" w:eastAsia="Times New Roman" w:hAnsi="Arial" w:cs="Times New Roman"/>
      <w:sz w:val="18"/>
      <w:szCs w:val="20"/>
    </w:rPr>
  </w:style>
  <w:style w:type="character" w:customStyle="1" w:styleId="TextodenotaderodapChar">
    <w:name w:val="Texto de nota de rodapé Char"/>
    <w:aliases w:val="Char Char,Char Char Char Char2,Char Char Char Char Char Char,Char Char Char Char Char1, Char Char, Char Char Char Char,Texto de nota de rodapé Char2 Char,Char Char2 Char,Char Char1 Char,Char Char Char Char1 Char"/>
    <w:basedOn w:val="Fontepargpadro"/>
    <w:link w:val="Textodenotaderodap"/>
    <w:rPr>
      <w:rFonts w:ascii="Arial" w:eastAsia="Times New Roman" w:hAnsi="Arial" w:cs="Times New Roman"/>
      <w:sz w:val="18"/>
      <w:szCs w:val="20"/>
    </w:rPr>
  </w:style>
  <w:style w:type="character" w:styleId="Refdenotaderodap">
    <w:name w:val="footnote reference"/>
    <w:rPr>
      <w:vertAlign w:val="superscript"/>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character" w:customStyle="1" w:styleId="firstementa">
    <w:name w:val="firstementa"/>
  </w:style>
  <w:style w:type="character" w:customStyle="1" w:styleId="marcapalavra">
    <w:name w:val="marca_palavra"/>
  </w:style>
  <w:style w:type="character" w:customStyle="1" w:styleId="hidden">
    <w:name w:val="hidden"/>
  </w:style>
  <w:style w:type="paragraph" w:styleId="PargrafodaLista">
    <w:name w:val="List Paragraph"/>
    <w:basedOn w:val="Normal"/>
    <w:uiPriority w:val="34"/>
    <w:qFormat/>
    <w:pPr>
      <w:ind w:left="720"/>
      <w:contextualSpacing/>
    </w:pPr>
  </w:style>
  <w:style w:type="paragraph" w:styleId="SemEspaamento">
    <w:name w:val="No Spacing"/>
    <w:uiPriority w:val="1"/>
    <w:qFormat/>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har,Char Char Char,Char Char Char Char Char,Char Char Char Char, Char, Char Char Char,Texto de nota de rodapé Char2,Char Char2,Char Char1,Char Char Char Char1,Char Char Char Char Char Char1,Char Char2 Char1"/>
    <w:basedOn w:val="Normal"/>
    <w:link w:val="TextodenotaderodapChar"/>
    <w:pPr>
      <w:tabs>
        <w:tab w:val="left" w:pos="1418"/>
      </w:tabs>
      <w:spacing w:after="0" w:line="240" w:lineRule="auto"/>
      <w:jc w:val="both"/>
    </w:pPr>
    <w:rPr>
      <w:rFonts w:ascii="Arial" w:eastAsia="Times New Roman" w:hAnsi="Arial" w:cs="Times New Roman"/>
      <w:sz w:val="18"/>
      <w:szCs w:val="20"/>
    </w:rPr>
  </w:style>
  <w:style w:type="character" w:customStyle="1" w:styleId="TextodenotaderodapChar">
    <w:name w:val="Texto de nota de rodapé Char"/>
    <w:aliases w:val="Char Char,Char Char Char Char2,Char Char Char Char Char Char,Char Char Char Char Char1, Char Char, Char Char Char Char,Texto de nota de rodapé Char2 Char,Char Char2 Char,Char Char1 Char,Char Char Char Char1 Char"/>
    <w:basedOn w:val="Fontepargpadro"/>
    <w:link w:val="Textodenotaderodap"/>
    <w:rPr>
      <w:rFonts w:ascii="Arial" w:eastAsia="Times New Roman" w:hAnsi="Arial" w:cs="Times New Roman"/>
      <w:sz w:val="18"/>
      <w:szCs w:val="20"/>
    </w:rPr>
  </w:style>
  <w:style w:type="character" w:styleId="Refdenotaderodap">
    <w:name w:val="footnote reference"/>
    <w:rPr>
      <w:vertAlign w:val="superscript"/>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character" w:customStyle="1" w:styleId="firstementa">
    <w:name w:val="firstementa"/>
  </w:style>
  <w:style w:type="character" w:customStyle="1" w:styleId="marcapalavra">
    <w:name w:val="marca_palavra"/>
  </w:style>
  <w:style w:type="character" w:customStyle="1" w:styleId="hidden">
    <w:name w:val="hidden"/>
  </w:style>
  <w:style w:type="paragraph" w:styleId="PargrafodaLista">
    <w:name w:val="List Paragraph"/>
    <w:basedOn w:val="Normal"/>
    <w:uiPriority w:val="34"/>
    <w:qFormat/>
    <w:pPr>
      <w:ind w:left="720"/>
      <w:contextualSpacing/>
    </w:pPr>
  </w:style>
  <w:style w:type="paragraph" w:styleId="SemEspaamento">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086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DB979-11BE-4EA1-A923-F6FECD909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1558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3</cp:revision>
  <cp:lastPrinted>2019-07-05T12:32:00Z</cp:lastPrinted>
  <dcterms:created xsi:type="dcterms:W3CDTF">2019-10-07T10:12:00Z</dcterms:created>
  <dcterms:modified xsi:type="dcterms:W3CDTF">2019-10-07T10:15:00Z</dcterms:modified>
</cp:coreProperties>
</file>