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6929/2019</w:t>
      </w:r>
      <w:r>
        <w:rPr>
          <w:rFonts w:eastAsia="Calibri" w:cs="Arial"/>
        </w:rPr>
        <w:tab/>
        <w:t xml:space="preserve">                             </w:t>
      </w:r>
      <w:r>
        <w:rPr>
          <w:rFonts w:eastAsia="Calibri" w:cs="Arial"/>
          <w:b/>
        </w:rPr>
        <w:t>Data:</w:t>
      </w:r>
      <w:r>
        <w:rPr>
          <w:rFonts w:eastAsia="Calibri" w:cs="Arial"/>
        </w:rPr>
        <w:t xml:space="preserve"> 20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Autoriza o Poder Executivo Municipal a contratar operação de crédito com a Caixa Econômica Federal,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contratação de operação de crédito com a Caixa Econômica Federal,</w:t>
      </w:r>
      <w:r>
        <w:t xml:space="preserve"> </w:t>
      </w:r>
      <w:r>
        <w:rPr>
          <w:rFonts w:eastAsia="Calibri" w:cs="Arial"/>
        </w:rPr>
        <w:t>no montante total de até R$ 4.420.000,00 (quatro milhões e quatrocentos e vinte mil reais), no âmbito do Financiamento à Infraestrutura e ao Saneamento – FINISA.</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Lei Complementar nº 101, de 2000 (LRF), no seu art. 32, estabelece as condições e exigências para que os Entes Públicos possam contratar operações de crédito junto às instituições financeiras.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prevê a contratação de operação de crédito pelo Município de Salto do Jacuí junto a Caixa Econômica Federal. Tal crédito será utilizado para o recapeamento da Avenida Pio XII.</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Conclui-se que o Projeto de Lei nº 2554, está em condições de tramitar, desde que excluído o art. 5º, em respeito ao princípio da exclusividade orçamentária.</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03 de outubro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0741-E35E-4A18-B13B-C4290361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2019-07-05T12:32:00Z</cp:lastPrinted>
  <dcterms:created xsi:type="dcterms:W3CDTF">2019-10-07T09:57:00Z</dcterms:created>
  <dcterms:modified xsi:type="dcterms:W3CDTF">2019-10-07T10:01:00Z</dcterms:modified>
</cp:coreProperties>
</file>