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 xml:space="preserve">COMISSÃO DE CONSTITUIÇÃO, JUSTIÇA E REDAÇÃO </w:t>
      </w:r>
      <w:proofErr w:type="gramStart"/>
      <w:r>
        <w:rPr>
          <w:rFonts w:eastAsia="Calibri" w:cs="Arial"/>
          <w:b/>
        </w:rPr>
        <w:t>FINAL</w:t>
      </w:r>
      <w:proofErr w:type="gramEnd"/>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61/2019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6901/2019</w:t>
      </w:r>
      <w:r>
        <w:rPr>
          <w:rFonts w:eastAsia="Calibri" w:cs="Arial"/>
        </w:rPr>
        <w:tab/>
        <w:t xml:space="preserve">                             </w:t>
      </w:r>
      <w:r>
        <w:rPr>
          <w:rFonts w:eastAsia="Calibri" w:cs="Arial"/>
          <w:b/>
        </w:rPr>
        <w:t>Data:</w:t>
      </w:r>
      <w:r>
        <w:rPr>
          <w:rFonts w:eastAsia="Calibri" w:cs="Arial"/>
        </w:rPr>
        <w:t xml:space="preserve"> 1º de agosto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2551/2019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Vereadora Jane Elizete Ferreira Martins da Silva </w:t>
      </w:r>
      <w:r>
        <w:rPr>
          <w:rFonts w:eastAsia="Calibri" w:cs="Arial"/>
        </w:rPr>
        <w:tab/>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Cs/>
        </w:rPr>
      </w:pPr>
      <w:r>
        <w:rPr>
          <w:rFonts w:eastAsia="Calibri" w:cs="Arial"/>
          <w:b/>
        </w:rPr>
        <w:t xml:space="preserve">Ementa: </w:t>
      </w:r>
      <w:r>
        <w:rPr>
          <w:rFonts w:eastAsia="Calibri" w:cs="Arial"/>
          <w:bCs/>
        </w:rPr>
        <w:t>Autoriza a contratação emergencial temporária, por tempo determinado, na forma do artigo 37, IX da Constituição Federal e artigo 76 da Lei Orgânica Municipal e dá outras providências.</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1.</w:t>
      </w:r>
      <w:r>
        <w:rPr>
          <w:rFonts w:eastAsia="Calibri" w:cs="Arial"/>
        </w:rPr>
        <w:tab/>
        <w:t>O Projeto de Lei em análise foi apresentado nesta Casa Legislativa no dia 1º de agosto de 2019 e tem como objetivo pedido de contratação emergencial temporária, por tempo determinado, na forma do artigo 37, IX da Constituição Federal e artigo 76 da Lei Orgânica Municipal.</w:t>
      </w:r>
    </w:p>
    <w:p>
      <w:pPr>
        <w:tabs>
          <w:tab w:val="left" w:pos="170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A iniciativa do projeto está correta, atendendo o inciso XI do art. 54 da Lei Orgânica Municipal.</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O</w:t>
      </w:r>
      <w:r>
        <w:rPr>
          <w:rFonts w:eastAsia="Calibri" w:cs="Arial"/>
        </w:rPr>
        <w:t xml:space="preserve"> Projeto de Lei que prevê a contratação emergencial de Professor de Língua Inglesa para rede municipal de ensino, tendo em vista que não houve aprovados no último CONCURSO PÚBLICO 001/2019. A presente contratação será realizada para suprir a necessidade das escolas municipais: E.M.E.F. </w:t>
      </w:r>
      <w:proofErr w:type="spellStart"/>
      <w:r>
        <w:rPr>
          <w:rFonts w:eastAsia="Calibri" w:cs="Arial"/>
        </w:rPr>
        <w:t>Siegfried</w:t>
      </w:r>
      <w:proofErr w:type="spellEnd"/>
      <w:r>
        <w:rPr>
          <w:rFonts w:eastAsia="Calibri" w:cs="Arial"/>
        </w:rPr>
        <w:t xml:space="preserve"> </w:t>
      </w:r>
      <w:proofErr w:type="spellStart"/>
      <w:r>
        <w:rPr>
          <w:rFonts w:eastAsia="Calibri" w:cs="Arial"/>
        </w:rPr>
        <w:t>Heuser</w:t>
      </w:r>
      <w:proofErr w:type="spellEnd"/>
      <w:r>
        <w:rPr>
          <w:rFonts w:eastAsia="Calibri" w:cs="Arial"/>
        </w:rPr>
        <w:t xml:space="preserve">; E.M.E.F. João Gonçalves Vieira; e E.M.E.F. Euclides </w:t>
      </w:r>
      <w:proofErr w:type="spellStart"/>
      <w:r>
        <w:rPr>
          <w:rFonts w:eastAsia="Calibri" w:cs="Arial"/>
        </w:rPr>
        <w:t>Kliemann</w:t>
      </w:r>
      <w:proofErr w:type="spellEnd"/>
      <w:r>
        <w:rPr>
          <w:rFonts w:eastAsia="Calibri" w:cs="Arial"/>
        </w:rPr>
        <w:t xml:space="preserve">. Importante destacar a necessidade da contratação e não interrupção do serviço educacional. </w:t>
      </w:r>
      <w:r>
        <w:rPr>
          <w:rFonts w:eastAsia="Calibri" w:cs="Arial"/>
        </w:rPr>
        <w:t xml:space="preserve"> </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Conclui-se que o Projeto de Lei nº 2551, está em condições de tramitar, visto que adequada a iniciativa legislativa e acompanhado de justificativa. </w:t>
      </w:r>
    </w:p>
    <w:p>
      <w:pPr>
        <w:tabs>
          <w:tab w:val="left" w:pos="1701"/>
          <w:tab w:val="left" w:pos="5059"/>
        </w:tabs>
        <w:spacing w:after="0" w:line="240" w:lineRule="auto"/>
        <w:ind w:firstLine="1701"/>
        <w:jc w:val="both"/>
        <w:rPr>
          <w:rFonts w:eastAsia="Calibri" w:cs="Arial"/>
        </w:rPr>
      </w:pPr>
      <w:bookmarkStart w:id="0" w:name="_GoBack"/>
      <w:bookmarkEnd w:id="0"/>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Diante dos fundamentos expostos, esta Relatoria, depois de debate realizado na Comissão disponibiliza o presente Voto favorável à tramitação da matéria.</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08 de agosto de 2019.</w:t>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Vereador Jane Elizete Ferreira Martins da Silva</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Calibri"/>
        </w:rPr>
      </w:pPr>
      <w:r>
        <w:rPr>
          <w:rFonts w:eastAsia="Calibri" w:cs="Arial"/>
        </w:rPr>
        <w:t>Vereadora Isabel de Oliveira Elias</w:t>
      </w:r>
      <w:r>
        <w:rPr>
          <w:rFonts w:eastAsia="Calibri" w:cs="Arial"/>
        </w:rPr>
        <w:tab/>
        <w:t xml:space="preserve">        Vereador Teodoro Jair </w:t>
      </w:r>
      <w:proofErr w:type="spellStart"/>
      <w:r>
        <w:rPr>
          <w:rFonts w:eastAsia="Calibri" w:cs="Arial"/>
        </w:rPr>
        <w:t>Dessbessel</w:t>
      </w:r>
      <w:proofErr w:type="spellEnd"/>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F60F-5D5A-4968-9B30-80CFA8A7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2019-04-18T12:01:00Z</cp:lastPrinted>
  <dcterms:created xsi:type="dcterms:W3CDTF">2019-08-11T13:09:00Z</dcterms:created>
  <dcterms:modified xsi:type="dcterms:W3CDTF">2019-08-11T13:13:00Z</dcterms:modified>
</cp:coreProperties>
</file>