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6929/2019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contratar operação de crédito com a Caixa Econômica Federal,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20 de agosto de 2019 e tem como objetivo pedido de autorização legislativa para </w:t>
      </w:r>
      <w:r>
        <w:rPr>
          <w:rFonts w:eastAsia="Calibri" w:cs="Arial"/>
          <w:bCs/>
        </w:rPr>
        <w:t>contratação de operação de crédito com a Caixa Econômica Federal.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a Lei Complementar nº 101, de 2000 (LRF), no seu art. 32, estabelece as condições e exigências para que os Entes Públicos possam contratar operações de crédito junto às instituições financeiras.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prevê a contratação de operação de crédito pelo Município de Salto do Jacuí junto a Caixa Econômica Federal. Tal crédito será utilizado para o recapeamento da Avenida Pio XII.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2554, está em condições de tramitar, desde que excluído o art. 5º, em respeito ao princípio da exclusividade orçamentária.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com Emenda Supressiva,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03 de outubro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bookmarkStart w:id="0" w:name="_GoBack"/>
      <w:bookmarkEnd w:id="0"/>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267</Words>
  <Characters>1445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2019-09-16T10:49:00Z</cp:lastPrinted>
  <dcterms:created xsi:type="dcterms:W3CDTF">2019-10-07T09:36:00Z</dcterms:created>
  <dcterms:modified xsi:type="dcterms:W3CDTF">2019-10-07T09:56:00Z</dcterms:modified>
</cp:coreProperties>
</file>