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51/2019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6865/2019</w:t>
      </w:r>
      <w:r>
        <w:rPr>
          <w:rFonts w:eastAsia="Calibri" w:cs="Arial"/>
        </w:rPr>
        <w:tab/>
        <w:t xml:space="preserve">                             </w:t>
      </w:r>
      <w:r>
        <w:rPr>
          <w:rFonts w:eastAsia="Calibri" w:cs="Arial"/>
          <w:b/>
        </w:rPr>
        <w:t>Data:</w:t>
      </w:r>
      <w:r>
        <w:rPr>
          <w:rFonts w:eastAsia="Calibri" w:cs="Arial"/>
        </w:rPr>
        <w:t xml:space="preserve"> 1º de julho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2544/2019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rPr>
        <w:tab/>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bCs/>
        </w:rPr>
        <w:t>Autoriza o Poder Executivo municipal a realizar processo seletivo simplificado e contratar por tempo determinado, por excepcional interesse público, nos termos do art. 37, IX da Constituição Federal e art. 76 da Lei Orgânica municipal e dá outras providências.</w:t>
      </w:r>
      <w:r>
        <w:rPr>
          <w:rFonts w:eastAsia="Calibri" w:cs="Arial"/>
        </w:rPr>
        <w:t xml:space="preserve"> </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 realização processo seletivo simplificado e contratação por tempo determinado, por excepcional interesse público, nos termos do art. 37, IX da Constituição Federal e art. 76 da Lei Orgânica municipal.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iniciativa do projeto está correta, atendendo o inciso XI do art. 54 da Lei Orgânica Municipal.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Consoante à matéria orçamentária, verifica-se que o presente Projeto de Lei está adequado, pois, verificou-se após encaminhamento do impacto orçamentário-financeiro que o mesmo encontra-se dentro dos limites legais.</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O presente Projeto de Lei prevê a realização de processo seletivo e posterior contratação emergencial de cinco cargos de Odontólogo para desempenhar as funções junto ao ESF Portão, ESF Capão Bonito e ESF Cruzeiro, conforme solicitação e justificativa apresentada pelo Coordenador do Setor Odontológico ao Secretário Municipal de Saúde. Tal seleção e contratação têm como objeto principal que os serviços odontológicos apresentados à população não sejam interrompidos e, consequentemente, não haja perda de recursos referentes aos programas de saúde bucal em andamento.</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2544, está em condições de tramitar, visto que adequada a iniciativa legislativa e acompanhado de justificativa. </w:t>
      </w:r>
    </w:p>
    <w:p>
      <w:pPr>
        <w:tabs>
          <w:tab w:val="left" w:pos="1701"/>
          <w:tab w:val="left" w:pos="5059"/>
        </w:tabs>
        <w:spacing w:after="0" w:line="240" w:lineRule="auto"/>
        <w:ind w:firstLine="1701"/>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11 de julho de 2019.</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Sandro </w:t>
      </w:r>
      <w:proofErr w:type="spellStart"/>
      <w:r>
        <w:rPr>
          <w:rFonts w:eastAsia="Calibri" w:cs="Arial"/>
        </w:rPr>
        <w:t>Drum</w:t>
      </w:r>
      <w:proofErr w:type="spellEnd"/>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bookmarkStart w:id="0" w:name="_GoBack"/>
      <w:bookmarkEnd w:id="0"/>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D8884-1520-43A4-BBEB-E21B42AD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1996</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2019-04-05T12:14:00Z</cp:lastPrinted>
  <dcterms:created xsi:type="dcterms:W3CDTF">2019-07-12T13:38:00Z</dcterms:created>
  <dcterms:modified xsi:type="dcterms:W3CDTF">2019-07-12T13:41:00Z</dcterms:modified>
</cp:coreProperties>
</file>