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50/2019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6864/2019</w:t>
      </w:r>
      <w:r>
        <w:rPr>
          <w:rFonts w:eastAsia="Calibri" w:cs="Arial"/>
        </w:rPr>
        <w:tab/>
        <w:t xml:space="preserve">                             </w:t>
      </w:r>
      <w:r>
        <w:rPr>
          <w:rFonts w:eastAsia="Calibri" w:cs="Arial"/>
          <w:b/>
        </w:rPr>
        <w:t>Data:</w:t>
      </w:r>
      <w:r>
        <w:rPr>
          <w:rFonts w:eastAsia="Calibri" w:cs="Arial"/>
        </w:rPr>
        <w:t xml:space="preserve"> 1º de julho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2541/2019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R$ 5.558,40 (cinco mil quinhentos e cinquenta e oito reais e quarenta centavos)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1.</w:t>
      </w:r>
      <w:r>
        <w:rPr>
          <w:rFonts w:eastAsia="Calibri" w:cs="Arial"/>
        </w:rPr>
        <w:tab/>
        <w:t>O Projeto de Lei em análise foi apresentado nesta Casa Legislativa no dia 1º de julh</w:t>
      </w:r>
      <w:bookmarkStart w:id="0" w:name="_GoBack"/>
      <w:bookmarkEnd w:id="0"/>
      <w:r>
        <w:rPr>
          <w:rFonts w:eastAsia="Calibri" w:cs="Arial"/>
        </w:rPr>
        <w:t xml:space="preserve">o de 2019 e tem como objetivo pedido de </w:t>
      </w:r>
      <w:r>
        <w:rPr>
          <w:rFonts w:eastAsia="Calibri" w:cs="Arial"/>
          <w:bCs/>
        </w:rPr>
        <w:t>realização para abertura de crédito especial no valor de R$ 5.558,40 (cinco mil quinhentos e cinquenta e oito reais e quarenta centavos).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pois pertence ao Executivo Municipal a competência privativa para iniciar o processo,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Município realizou um contrato de rateio (n°69/2019) junto ao </w:t>
      </w:r>
      <w:proofErr w:type="spellStart"/>
      <w:r>
        <w:rPr>
          <w:rFonts w:eastAsia="Calibri" w:cs="Arial"/>
        </w:rPr>
        <w:t>Comaja</w:t>
      </w:r>
      <w:proofErr w:type="spellEnd"/>
      <w:r>
        <w:rPr>
          <w:rFonts w:eastAsia="Calibri" w:cs="Arial"/>
        </w:rPr>
        <w:t xml:space="preserve"> (Consórcio de Desenvolvimento Intermunicipal dos Municípios do Alto Jacuí e Alto da Serra do </w:t>
      </w:r>
      <w:proofErr w:type="spellStart"/>
      <w:r>
        <w:rPr>
          <w:rFonts w:eastAsia="Calibri" w:cs="Arial"/>
        </w:rPr>
        <w:t>Botucaraí</w:t>
      </w:r>
      <w:proofErr w:type="spellEnd"/>
      <w:r>
        <w:rPr>
          <w:rFonts w:eastAsia="Calibri" w:cs="Arial"/>
        </w:rPr>
        <w:t>), onde ficou estabelecido uma taxa administrativa mensal no valor de R$ 617,60 (seiscentos e dezessete reais e sessenta centavos).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2541, está em condições de tramitar, visto que adequada a iniciativa legislativa e acompanhado de justificativa. </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11 de julho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2770C-7D98-494E-AD08-7A676BD0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301</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2019-07-12T12:10:00Z</cp:lastPrinted>
  <dcterms:created xsi:type="dcterms:W3CDTF">2019-07-12T12:54:00Z</dcterms:created>
  <dcterms:modified xsi:type="dcterms:W3CDTF">2019-07-12T13:07:00Z</dcterms:modified>
</cp:coreProperties>
</file>