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6836/2019</w:t>
      </w:r>
      <w:r>
        <w:rPr>
          <w:rFonts w:eastAsia="Calibri" w:cs="Arial"/>
        </w:rPr>
        <w:tab/>
        <w:t xml:space="preserve">                             </w:t>
      </w:r>
      <w:r>
        <w:rPr>
          <w:rFonts w:eastAsia="Calibri" w:cs="Arial"/>
          <w:b/>
        </w:rPr>
        <w:t>Data:</w:t>
      </w:r>
      <w:r>
        <w:rPr>
          <w:rFonts w:eastAsia="Calibri" w:cs="Arial"/>
        </w:rPr>
        <w:t xml:space="preserve"> 11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criar cargos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criação de cargos.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criação de mais (03) três vagas do cargo efetivo de Professor de Educação </w:t>
      </w:r>
      <w:r>
        <w:rPr>
          <w:rFonts w:eastAsia="Calibri" w:cs="Arial"/>
        </w:rPr>
        <w:t>Especial</w:t>
      </w:r>
      <w:bookmarkStart w:id="0" w:name="_GoBack"/>
      <w:bookmarkEnd w:id="0"/>
      <w:r>
        <w:rPr>
          <w:rFonts w:eastAsia="Calibri" w:cs="Arial"/>
        </w:rPr>
        <w:t xml:space="preserve"> na estrutura administrativa do Município, tendo em vista o término dos Contratos Administrativos e a necessidade de serem estes substituídos pelos aprovados no Concurso Público realizado.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2537, está em condições de tramitar, visto que adequada a iniciativa legislativa e acompanhado de justificativa. Ressalta-se que o Poder Executivo encaminhou Mensagem Retificativa promovendo adequações no texto do projeto.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3011-A247-4F48-9980-C492A197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2019-07-05T12:32:00Z</cp:lastPrinted>
  <dcterms:created xsi:type="dcterms:W3CDTF">2019-07-12T12:10:00Z</dcterms:created>
  <dcterms:modified xsi:type="dcterms:W3CDTF">2019-07-12T12:13:00Z</dcterms:modified>
</cp:coreProperties>
</file>