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6807/2019</w:t>
      </w:r>
      <w:r>
        <w:rPr>
          <w:rFonts w:eastAsia="Calibri" w:cs="Arial"/>
        </w:rPr>
        <w:tab/>
        <w:t xml:space="preserve">                             </w:t>
      </w:r>
      <w:r>
        <w:rPr>
          <w:rFonts w:eastAsia="Calibri" w:cs="Arial"/>
          <w:b/>
        </w:rPr>
        <w:t>Data:</w:t>
      </w:r>
      <w:r>
        <w:rPr>
          <w:rFonts w:eastAsia="Calibri" w:cs="Arial"/>
        </w:rPr>
        <w:t xml:space="preserve"> 22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especial no valor de R$ 14.656,92 (quatorze mil seiscentos e cinquenta e seis reais e noventa e dois centavos)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w:t>
      </w:r>
      <w:bookmarkStart w:id="0" w:name="_GoBack"/>
      <w:bookmarkEnd w:id="0"/>
      <w:r>
        <w:rPr>
          <w:rFonts w:eastAsia="Calibri" w:cs="Arial"/>
        </w:rPr>
        <w:t xml:space="preserve"> abertura de crédito especial no valor de R$ 14.656,92 (quatorze mil seiscentos e cinquenta e seis reais e noventa e dois centavos).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 xml:space="preserve">Na análise, identifica-se que a proposição está correta quanto </w:t>
      </w:r>
      <w:proofErr w:type="gramStart"/>
      <w:r>
        <w:rPr>
          <w:rFonts w:eastAsia="Calibri" w:cs="Arial"/>
        </w:rPr>
        <w:t>a</w:t>
      </w:r>
      <w:proofErr w:type="gramEnd"/>
      <w:r>
        <w:rPr>
          <w:rFonts w:eastAsia="Calibri" w:cs="Arial"/>
        </w:rPr>
        <w:t xml:space="preserve"> iniciativa, de acordo com art. 165, inci</w:t>
      </w:r>
      <w:r>
        <w:rPr>
          <w:rFonts w:eastAsia="Calibri" w:cs="Arial"/>
        </w:rPr>
        <w:t>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Consoante à matéria orçamentária, verifica-se que o presente Projeto de Lei compreende os requisitos necessários para a abertura de crédito adicional especial, sob o respaldo do </w:t>
      </w:r>
      <w:r>
        <w:rPr>
          <w:rFonts w:eastAsia="Calibri" w:cs="Arial"/>
        </w:rPr>
        <w:t>art. 41, inciso II, e do art. 43, § 1º, inciso 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Salienta-se que há demonstrativo que comprova a existência do superávit financeiro, também, as alterações propostas foram aprovadas pelo Conselho Municipal de Saúde, conforme art. 33 da Lei nº 8.080, de 1990.</w:t>
      </w:r>
    </w:p>
    <w:p>
      <w:pPr>
        <w:tabs>
          <w:tab w:val="left" w:pos="1701"/>
          <w:tab w:val="left" w:pos="5059"/>
        </w:tabs>
        <w:spacing w:after="0" w:line="240" w:lineRule="auto"/>
        <w:jc w:val="both"/>
        <w:rPr>
          <w:rFonts w:eastAsia="Calibri" w:cs="Arial"/>
        </w:rPr>
      </w:pPr>
      <w:r>
        <w:rPr>
          <w:rFonts w:eastAsia="Calibri" w:cs="Arial"/>
        </w:rPr>
        <w:t xml:space="preserve"> </w:t>
      </w: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30 de maio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75061-EAAD-4381-97AA-C9570B61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2019-05-24T12:55:00Z</cp:lastPrinted>
  <dcterms:created xsi:type="dcterms:W3CDTF">2019-05-31T12:00:00Z</dcterms:created>
  <dcterms:modified xsi:type="dcterms:W3CDTF">2019-05-31T12:06:00Z</dcterms:modified>
</cp:coreProperties>
</file>