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6782/2019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03 de maio de 2019 e tem como objetivo pedido de autorização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Sobre o conteúdo do PL, a contratação temporária deve ser um fato atípico, no caso concreto, o fato gerador das contratações pode ser enquadrado no inciso III do art.196 da Lei nº 270, de 1990.</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 xml:space="preserve">O presente Projeto de Lei que prevê a realização de processo seletivo para contratação de vigias. Conforme Justificativa, a contratação é de extrema necessidade, pois visa à segurança das escolas municipais para que não ocorram danos ao patrimônio público resultante de invasões, furtos ou depredações que possam vir a ocorrer caso não estejam </w:t>
      </w:r>
      <w:proofErr w:type="gramStart"/>
      <w:r>
        <w:rPr>
          <w:rFonts w:eastAsia="Calibri" w:cs="Arial"/>
        </w:rPr>
        <w:t>sob vigilância</w:t>
      </w:r>
      <w:proofErr w:type="gram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2526</w:t>
      </w:r>
      <w:bookmarkStart w:id="0" w:name="_GoBack"/>
      <w:bookmarkEnd w:id="0"/>
      <w:r>
        <w:rPr>
          <w:rFonts w:eastAsia="Calibri" w:cs="Arial"/>
        </w:rPr>
        <w:t xml:space="preserve">, está em condições de tramitar, visto que adequada a iniciativa legislativa e acompanhado de justificativa. Ressalta-se que o Poder Executivo encaminhou Mensagem Retificativa promovendo adequações no texto do projeto e estabelecendo o prazo da contratação.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2019-05-10T12:15:00Z</cp:lastPrinted>
  <dcterms:created xsi:type="dcterms:W3CDTF">2019-05-21T11:00:00Z</dcterms:created>
  <dcterms:modified xsi:type="dcterms:W3CDTF">2019-05-21T11:19:00Z</dcterms:modified>
</cp:coreProperties>
</file>