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62" w:rsidRDefault="00BC7D62">
      <w:pPr>
        <w:tabs>
          <w:tab w:val="left" w:pos="1418"/>
          <w:tab w:val="left" w:pos="5059"/>
        </w:tabs>
        <w:spacing w:after="0" w:line="240" w:lineRule="auto"/>
        <w:jc w:val="center"/>
        <w:rPr>
          <w:rFonts w:eastAsia="Calibri" w:cs="Arial"/>
          <w:b/>
        </w:rPr>
      </w:pPr>
      <w:bookmarkStart w:id="0" w:name="_GoBack"/>
      <w:bookmarkEnd w:id="0"/>
    </w:p>
    <w:p w:rsidR="00BC7D62" w:rsidRDefault="00BC7D62">
      <w:pPr>
        <w:tabs>
          <w:tab w:val="left" w:pos="1418"/>
          <w:tab w:val="left" w:pos="5059"/>
        </w:tabs>
        <w:spacing w:after="0" w:line="240" w:lineRule="auto"/>
        <w:jc w:val="center"/>
        <w:rPr>
          <w:rFonts w:eastAsia="Calibri" w:cs="Arial"/>
          <w:b/>
        </w:rPr>
      </w:pPr>
    </w:p>
    <w:p w:rsidR="00BC7D62" w:rsidRDefault="00E959BC">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BC7D62" w:rsidRDefault="00BC7D62">
      <w:pPr>
        <w:tabs>
          <w:tab w:val="left" w:pos="1418"/>
          <w:tab w:val="left" w:pos="5059"/>
        </w:tabs>
        <w:spacing w:after="0" w:line="240" w:lineRule="auto"/>
        <w:jc w:val="center"/>
        <w:rPr>
          <w:rFonts w:eastAsia="Calibri" w:cs="Arial"/>
          <w:b/>
        </w:rPr>
      </w:pPr>
    </w:p>
    <w:p w:rsidR="00BC7D62" w:rsidRDefault="00E959B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81/2019</w:t>
      </w:r>
    </w:p>
    <w:p w:rsidR="00BC7D62" w:rsidRDefault="00E959B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6974/2019</w:t>
      </w:r>
      <w:r>
        <w:rPr>
          <w:rFonts w:eastAsia="Calibri" w:cs="Arial"/>
        </w:rPr>
        <w:tab/>
        <w:t xml:space="preserve">                             </w:t>
      </w:r>
      <w:r>
        <w:rPr>
          <w:rFonts w:eastAsia="Calibri" w:cs="Arial"/>
          <w:b/>
        </w:rPr>
        <w:t>Data:</w:t>
      </w:r>
      <w:r>
        <w:rPr>
          <w:rFonts w:eastAsia="Calibri" w:cs="Arial"/>
        </w:rPr>
        <w:t xml:space="preserve"> 01 de novembro de 2019</w:t>
      </w:r>
    </w:p>
    <w:p w:rsidR="00BC7D62" w:rsidRDefault="00E959B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2579/2019</w:t>
      </w:r>
      <w:r>
        <w:rPr>
          <w:rFonts w:eastAsia="Calibri" w:cs="Arial"/>
        </w:rPr>
        <w:tab/>
        <w:t xml:space="preserve">                                                                        </w:t>
      </w:r>
      <w:r>
        <w:rPr>
          <w:rFonts w:eastAsia="Calibri" w:cs="Arial"/>
          <w:b/>
        </w:rPr>
        <w:t>Autor:</w:t>
      </w:r>
      <w:r>
        <w:rPr>
          <w:rFonts w:eastAsia="Calibri" w:cs="Arial"/>
        </w:rPr>
        <w:t xml:space="preserve"> Poder Executivo</w:t>
      </w:r>
    </w:p>
    <w:p w:rsidR="00BC7D62" w:rsidRDefault="00E959B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BC7D62" w:rsidRDefault="00E959BC">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197 da Lei 270/90 que dispõe sobre a contratação temporária de excepcional interesse público e dá outras providên</w:t>
      </w:r>
      <w:r>
        <w:rPr>
          <w:rFonts w:eastAsia="Calibri" w:cs="Arial"/>
          <w:bCs/>
        </w:rPr>
        <w:t>cias.</w:t>
      </w:r>
    </w:p>
    <w:p w:rsidR="00BC7D62" w:rsidRDefault="00BC7D62">
      <w:pPr>
        <w:tabs>
          <w:tab w:val="left" w:pos="1418"/>
          <w:tab w:val="left" w:pos="5059"/>
        </w:tabs>
        <w:spacing w:after="0" w:line="240" w:lineRule="auto"/>
        <w:jc w:val="both"/>
        <w:rPr>
          <w:rFonts w:eastAsia="Calibri" w:cs="Arial"/>
          <w:b/>
        </w:rPr>
      </w:pPr>
    </w:p>
    <w:p w:rsidR="00BC7D62" w:rsidRDefault="00E959BC">
      <w:pPr>
        <w:tabs>
          <w:tab w:val="left" w:pos="1418"/>
          <w:tab w:val="left" w:pos="5059"/>
        </w:tabs>
        <w:spacing w:after="0" w:line="240" w:lineRule="auto"/>
        <w:jc w:val="center"/>
        <w:rPr>
          <w:rFonts w:eastAsia="Calibri" w:cs="Arial"/>
          <w:b/>
        </w:rPr>
      </w:pPr>
      <w:r>
        <w:rPr>
          <w:rFonts w:eastAsia="Calibri" w:cs="Arial"/>
          <w:b/>
        </w:rPr>
        <w:t>Relatório:</w:t>
      </w:r>
    </w:p>
    <w:p w:rsidR="00BC7D62" w:rsidRDefault="00BC7D62">
      <w:pPr>
        <w:tabs>
          <w:tab w:val="left" w:pos="1418"/>
          <w:tab w:val="left" w:pos="5059"/>
        </w:tabs>
        <w:spacing w:after="0" w:line="240" w:lineRule="auto"/>
        <w:jc w:val="center"/>
        <w:rPr>
          <w:rFonts w:eastAsia="Calibri" w:cs="Arial"/>
          <w:b/>
        </w:rPr>
      </w:pPr>
    </w:p>
    <w:p w:rsidR="00BC7D62" w:rsidRDefault="00E959BC">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01 de novembro de 2019 e tem como objetivo </w:t>
      </w:r>
      <w:r>
        <w:rPr>
          <w:rFonts w:eastAsia="Calibri" w:cs="Arial"/>
          <w:bCs/>
        </w:rPr>
        <w:t>alterar o artigo 197 da Lei 270/90 que dispõe sobre a contratação temporária de excepcional interesse público e dá outr</w:t>
      </w:r>
      <w:r>
        <w:rPr>
          <w:rFonts w:eastAsia="Calibri" w:cs="Arial"/>
          <w:bCs/>
        </w:rPr>
        <w:t>as providências.</w:t>
      </w:r>
    </w:p>
    <w:p w:rsidR="00BC7D62" w:rsidRDefault="00BC7D62">
      <w:pPr>
        <w:tabs>
          <w:tab w:val="left" w:pos="1701"/>
          <w:tab w:val="left" w:pos="5059"/>
        </w:tabs>
        <w:spacing w:after="0" w:line="240" w:lineRule="auto"/>
        <w:jc w:val="both"/>
        <w:rPr>
          <w:rFonts w:eastAsia="Calibri" w:cs="Arial"/>
          <w:b/>
        </w:rPr>
      </w:pPr>
    </w:p>
    <w:p w:rsidR="00BC7D62" w:rsidRDefault="00E959BC">
      <w:pPr>
        <w:tabs>
          <w:tab w:val="left" w:pos="1418"/>
          <w:tab w:val="left" w:pos="5059"/>
        </w:tabs>
        <w:spacing w:after="0" w:line="240" w:lineRule="auto"/>
        <w:jc w:val="center"/>
        <w:rPr>
          <w:rFonts w:eastAsia="Calibri" w:cs="Arial"/>
          <w:b/>
        </w:rPr>
      </w:pPr>
      <w:r>
        <w:rPr>
          <w:rFonts w:eastAsia="Calibri" w:cs="Arial"/>
          <w:b/>
        </w:rPr>
        <w:t>Análise:</w:t>
      </w:r>
    </w:p>
    <w:p w:rsidR="00BC7D62" w:rsidRDefault="00BC7D62">
      <w:pPr>
        <w:tabs>
          <w:tab w:val="left" w:pos="1418"/>
          <w:tab w:val="left" w:pos="5059"/>
        </w:tabs>
        <w:spacing w:after="0" w:line="240" w:lineRule="auto"/>
        <w:jc w:val="center"/>
        <w:rPr>
          <w:rFonts w:eastAsia="Calibri" w:cs="Arial"/>
          <w:b/>
        </w:rPr>
      </w:pPr>
    </w:p>
    <w:p w:rsidR="00BC7D62" w:rsidRDefault="00E959BC">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atendendo o disposto no inciso XI do art. 54 da Lei Orgânica Municipal.</w:t>
      </w:r>
    </w:p>
    <w:p w:rsidR="00BC7D62" w:rsidRDefault="00BC7D62">
      <w:pPr>
        <w:tabs>
          <w:tab w:val="left" w:pos="1701"/>
          <w:tab w:val="left" w:pos="5059"/>
        </w:tabs>
        <w:spacing w:after="0" w:line="240" w:lineRule="auto"/>
        <w:ind w:firstLine="1701"/>
        <w:jc w:val="both"/>
        <w:rPr>
          <w:rFonts w:eastAsia="Calibri" w:cs="Arial"/>
        </w:rPr>
      </w:pPr>
    </w:p>
    <w:p w:rsidR="00BC7D62" w:rsidRDefault="00E959BC">
      <w:pPr>
        <w:tabs>
          <w:tab w:val="left" w:pos="1701"/>
          <w:tab w:val="left" w:pos="5059"/>
        </w:tabs>
        <w:spacing w:after="0" w:line="240" w:lineRule="auto"/>
        <w:ind w:firstLine="1701"/>
        <w:jc w:val="both"/>
        <w:rPr>
          <w:rFonts w:eastAsia="Calibri" w:cs="Arial"/>
        </w:rPr>
      </w:pPr>
      <w:r>
        <w:rPr>
          <w:rFonts w:eastAsia="Calibri" w:cs="Arial"/>
        </w:rPr>
        <w:t xml:space="preserve">O Projeto justifica-se, tendo em vista a necessidade de regularização do art. 197 da </w:t>
      </w:r>
      <w:r>
        <w:rPr>
          <w:rFonts w:eastAsia="Calibri" w:cs="Arial"/>
        </w:rPr>
        <w:t>Lei 270/90, Regime Jurídico, onde consta quanto ao prazo de contratação temporária de seis meses, alterando-o, onde não poderão ultrapassar o prazo de um ano, trazendo assim melhorias as contratações efetuadas de maneira temporária com a continuidade do ví</w:t>
      </w:r>
      <w:r>
        <w:rPr>
          <w:rFonts w:eastAsia="Calibri" w:cs="Arial"/>
        </w:rPr>
        <w:t>nculo por um período maior tornando a prestação de serviços mais eficaz.</w:t>
      </w:r>
    </w:p>
    <w:p w:rsidR="00BC7D62" w:rsidRDefault="00BC7D62">
      <w:pPr>
        <w:tabs>
          <w:tab w:val="left" w:pos="1701"/>
          <w:tab w:val="left" w:pos="5059"/>
        </w:tabs>
        <w:spacing w:after="0" w:line="240" w:lineRule="auto"/>
        <w:ind w:firstLine="1701"/>
        <w:jc w:val="both"/>
        <w:rPr>
          <w:rFonts w:eastAsia="Calibri" w:cs="Arial"/>
        </w:rPr>
      </w:pPr>
    </w:p>
    <w:p w:rsidR="00BC7D62" w:rsidRDefault="00E959BC">
      <w:pPr>
        <w:tabs>
          <w:tab w:val="left" w:pos="1701"/>
          <w:tab w:val="left" w:pos="5059"/>
        </w:tabs>
        <w:spacing w:after="0" w:line="240" w:lineRule="auto"/>
        <w:ind w:firstLine="1701"/>
        <w:jc w:val="both"/>
        <w:rPr>
          <w:rFonts w:eastAsia="Calibri" w:cs="Arial"/>
        </w:rPr>
      </w:pPr>
      <w:r>
        <w:rPr>
          <w:rFonts w:eastAsia="Calibri" w:cs="Arial"/>
        </w:rPr>
        <w:t>Conclui-se que o Projeto de Lei nº 2579, está em condições de tramitar, visto que adequada a iniciativa legislativa e acompanhado de justificativa.</w:t>
      </w:r>
    </w:p>
    <w:p w:rsidR="00BC7D62" w:rsidRDefault="00BC7D62">
      <w:pPr>
        <w:tabs>
          <w:tab w:val="left" w:pos="1701"/>
          <w:tab w:val="left" w:pos="5059"/>
        </w:tabs>
        <w:spacing w:after="0" w:line="240" w:lineRule="auto"/>
        <w:ind w:firstLine="1701"/>
        <w:jc w:val="both"/>
        <w:rPr>
          <w:rFonts w:eastAsia="Calibri" w:cs="Arial"/>
        </w:rPr>
      </w:pPr>
    </w:p>
    <w:p w:rsidR="00BC7D62" w:rsidRDefault="00E959BC">
      <w:pPr>
        <w:tabs>
          <w:tab w:val="left" w:pos="1418"/>
          <w:tab w:val="left" w:pos="5059"/>
        </w:tabs>
        <w:spacing w:after="0" w:line="240" w:lineRule="auto"/>
        <w:jc w:val="center"/>
        <w:rPr>
          <w:rFonts w:eastAsia="Calibri" w:cs="Arial"/>
          <w:b/>
        </w:rPr>
      </w:pPr>
      <w:r>
        <w:rPr>
          <w:rFonts w:eastAsia="Calibri" w:cs="Arial"/>
          <w:b/>
        </w:rPr>
        <w:t>Conclusão do Voto:</w:t>
      </w:r>
    </w:p>
    <w:p w:rsidR="00BC7D62" w:rsidRDefault="00BC7D62">
      <w:pPr>
        <w:tabs>
          <w:tab w:val="left" w:pos="1418"/>
          <w:tab w:val="left" w:pos="5059"/>
        </w:tabs>
        <w:spacing w:after="0" w:line="240" w:lineRule="auto"/>
        <w:jc w:val="both"/>
        <w:rPr>
          <w:rFonts w:eastAsia="Calibri" w:cs="Arial"/>
        </w:rPr>
      </w:pPr>
    </w:p>
    <w:p w:rsidR="00BC7D62" w:rsidRDefault="00E959BC">
      <w:pPr>
        <w:tabs>
          <w:tab w:val="left" w:pos="1701"/>
          <w:tab w:val="left" w:pos="5059"/>
        </w:tabs>
        <w:spacing w:after="0" w:line="240" w:lineRule="auto"/>
        <w:jc w:val="both"/>
        <w:rPr>
          <w:rFonts w:eastAsia="Calibri" w:cs="Arial"/>
        </w:rPr>
      </w:pPr>
      <w:r>
        <w:rPr>
          <w:rFonts w:eastAsia="Calibri" w:cs="Arial"/>
        </w:rPr>
        <w:tab/>
        <w:t>Diante dos f</w:t>
      </w:r>
      <w:r>
        <w:rPr>
          <w:rFonts w:eastAsia="Calibri" w:cs="Arial"/>
        </w:rPr>
        <w:t xml:space="preserve">undamentos expostos, esta Relatoria, depois de debate realizado na Comissão disponibiliza o presente voto favorável, à tramitação da matéria. </w:t>
      </w:r>
    </w:p>
    <w:p w:rsidR="00BC7D62" w:rsidRDefault="00BC7D62">
      <w:pPr>
        <w:tabs>
          <w:tab w:val="left" w:pos="1418"/>
          <w:tab w:val="left" w:pos="5059"/>
        </w:tabs>
        <w:spacing w:after="0" w:line="240" w:lineRule="auto"/>
        <w:jc w:val="both"/>
        <w:rPr>
          <w:rFonts w:eastAsia="Calibri" w:cs="Arial"/>
        </w:rPr>
      </w:pPr>
    </w:p>
    <w:p w:rsidR="00BC7D62" w:rsidRDefault="00E959BC">
      <w:pPr>
        <w:tabs>
          <w:tab w:val="left" w:pos="1701"/>
          <w:tab w:val="left" w:pos="5059"/>
        </w:tabs>
        <w:spacing w:after="0" w:line="240" w:lineRule="auto"/>
        <w:jc w:val="both"/>
        <w:rPr>
          <w:rFonts w:eastAsia="Calibri" w:cs="Arial"/>
        </w:rPr>
      </w:pPr>
      <w:r>
        <w:rPr>
          <w:rFonts w:eastAsia="Calibri" w:cs="Arial"/>
        </w:rPr>
        <w:tab/>
        <w:t>Sala das Comissões, em 07 de novembro de 2019.</w:t>
      </w:r>
    </w:p>
    <w:p w:rsidR="00BC7D62" w:rsidRDefault="00E959BC">
      <w:pPr>
        <w:tabs>
          <w:tab w:val="left" w:pos="1701"/>
          <w:tab w:val="left" w:pos="5059"/>
        </w:tabs>
        <w:spacing w:after="0" w:line="240" w:lineRule="auto"/>
        <w:jc w:val="both"/>
        <w:rPr>
          <w:rFonts w:eastAsia="Calibri" w:cs="Arial"/>
        </w:rPr>
      </w:pPr>
      <w:r>
        <w:rPr>
          <w:rFonts w:eastAsia="Calibri" w:cs="Arial"/>
        </w:rPr>
        <w:tab/>
      </w:r>
    </w:p>
    <w:p w:rsidR="00BC7D62" w:rsidRDefault="00BC7D62">
      <w:pPr>
        <w:tabs>
          <w:tab w:val="left" w:pos="1701"/>
          <w:tab w:val="left" w:pos="5059"/>
        </w:tabs>
        <w:spacing w:after="0" w:line="240" w:lineRule="auto"/>
        <w:jc w:val="both"/>
        <w:rPr>
          <w:rFonts w:eastAsia="Calibri" w:cs="Arial"/>
        </w:rPr>
      </w:pPr>
    </w:p>
    <w:p w:rsidR="00BC7D62" w:rsidRDefault="00E959BC">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BC7D62" w:rsidRDefault="00BC7D62">
      <w:pPr>
        <w:tabs>
          <w:tab w:val="left" w:pos="1418"/>
          <w:tab w:val="left" w:pos="5059"/>
        </w:tabs>
        <w:spacing w:after="0" w:line="240" w:lineRule="auto"/>
        <w:jc w:val="both"/>
        <w:rPr>
          <w:rFonts w:eastAsia="Calibri" w:cs="Arial"/>
        </w:rPr>
      </w:pPr>
    </w:p>
    <w:p w:rsidR="00BC7D62" w:rsidRDefault="00BC7D62">
      <w:pPr>
        <w:tabs>
          <w:tab w:val="left" w:pos="1418"/>
          <w:tab w:val="left" w:pos="5059"/>
        </w:tabs>
        <w:spacing w:after="0" w:line="240" w:lineRule="auto"/>
        <w:jc w:val="both"/>
        <w:rPr>
          <w:rFonts w:eastAsia="Calibri" w:cs="Arial"/>
          <w:b/>
        </w:rPr>
      </w:pPr>
    </w:p>
    <w:p w:rsidR="00BC7D62" w:rsidRDefault="00E959BC">
      <w:pPr>
        <w:tabs>
          <w:tab w:val="left" w:pos="1418"/>
          <w:tab w:val="left" w:pos="5059"/>
        </w:tabs>
        <w:spacing w:after="0" w:line="240" w:lineRule="auto"/>
        <w:jc w:val="both"/>
        <w:rPr>
          <w:rFonts w:eastAsia="Calibri" w:cs="Arial"/>
          <w:b/>
        </w:rPr>
      </w:pPr>
      <w:r>
        <w:rPr>
          <w:rFonts w:eastAsia="Calibri" w:cs="Arial"/>
          <w:b/>
        </w:rPr>
        <w:t>Pelas con</w:t>
      </w:r>
      <w:r>
        <w:rPr>
          <w:rFonts w:eastAsia="Calibri" w:cs="Arial"/>
          <w:b/>
        </w:rPr>
        <w:t>clusões:</w:t>
      </w:r>
    </w:p>
    <w:p w:rsidR="00BC7D62" w:rsidRDefault="00BC7D62">
      <w:pPr>
        <w:tabs>
          <w:tab w:val="left" w:pos="1418"/>
          <w:tab w:val="left" w:pos="5059"/>
        </w:tabs>
        <w:spacing w:after="0" w:line="240" w:lineRule="auto"/>
        <w:jc w:val="both"/>
        <w:rPr>
          <w:rFonts w:eastAsia="Calibri" w:cs="Arial"/>
        </w:rPr>
      </w:pPr>
    </w:p>
    <w:p w:rsidR="00BC7D62" w:rsidRDefault="00BC7D62">
      <w:pPr>
        <w:tabs>
          <w:tab w:val="left" w:pos="1418"/>
          <w:tab w:val="left" w:pos="5059"/>
        </w:tabs>
        <w:spacing w:after="0" w:line="240" w:lineRule="auto"/>
        <w:jc w:val="both"/>
        <w:rPr>
          <w:rFonts w:eastAsia="Calibri" w:cs="Arial"/>
        </w:rPr>
      </w:pPr>
    </w:p>
    <w:p w:rsidR="00BC7D62" w:rsidRDefault="00E959BC">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BC7D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BC" w:rsidRDefault="00E959BC">
      <w:pPr>
        <w:spacing w:after="0" w:line="240" w:lineRule="auto"/>
      </w:pPr>
      <w:r>
        <w:separator/>
      </w:r>
    </w:p>
  </w:endnote>
  <w:endnote w:type="continuationSeparator" w:id="0">
    <w:p w:rsidR="00E959BC" w:rsidRDefault="00E9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BC" w:rsidRDefault="00E959BC">
      <w:pPr>
        <w:spacing w:after="0" w:line="240" w:lineRule="auto"/>
      </w:pPr>
      <w:r>
        <w:separator/>
      </w:r>
    </w:p>
  </w:footnote>
  <w:footnote w:type="continuationSeparator" w:id="0">
    <w:p w:rsidR="00E959BC" w:rsidRDefault="00E95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62"/>
    <w:rsid w:val="00836A9D"/>
    <w:rsid w:val="00BC7D62"/>
    <w:rsid w:val="00E95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F3354-1C3C-4A5C-A7C5-580E5F56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2019-10-21T12:17:00Z</cp:lastPrinted>
  <dcterms:created xsi:type="dcterms:W3CDTF">2019-12-23T01:17:00Z</dcterms:created>
  <dcterms:modified xsi:type="dcterms:W3CDTF">2019-12-23T01:17:00Z</dcterms:modified>
</cp:coreProperties>
</file>