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2A" w:rsidRDefault="00DB6D2A">
      <w:pPr>
        <w:tabs>
          <w:tab w:val="left" w:pos="1418"/>
          <w:tab w:val="left" w:pos="5059"/>
        </w:tabs>
        <w:spacing w:after="0" w:line="240" w:lineRule="auto"/>
        <w:jc w:val="center"/>
        <w:rPr>
          <w:rFonts w:eastAsia="Calibri" w:cs="Arial"/>
          <w:b/>
        </w:rPr>
      </w:pPr>
      <w:bookmarkStart w:id="0" w:name="_GoBack"/>
      <w:bookmarkEnd w:id="0"/>
    </w:p>
    <w:p w:rsidR="00DB6D2A" w:rsidRDefault="00DB6D2A">
      <w:pPr>
        <w:tabs>
          <w:tab w:val="left" w:pos="1418"/>
          <w:tab w:val="left" w:pos="5059"/>
        </w:tabs>
        <w:spacing w:after="0" w:line="240" w:lineRule="auto"/>
        <w:jc w:val="center"/>
        <w:rPr>
          <w:rFonts w:eastAsia="Calibri" w:cs="Arial"/>
          <w:b/>
        </w:rPr>
      </w:pPr>
    </w:p>
    <w:p w:rsidR="00DB6D2A" w:rsidRDefault="00DB6D2A">
      <w:pPr>
        <w:tabs>
          <w:tab w:val="left" w:pos="1418"/>
          <w:tab w:val="left" w:pos="5059"/>
        </w:tabs>
        <w:spacing w:after="0" w:line="240" w:lineRule="auto"/>
        <w:jc w:val="center"/>
        <w:rPr>
          <w:rFonts w:eastAsia="Calibri" w:cs="Arial"/>
          <w:b/>
        </w:rPr>
      </w:pPr>
    </w:p>
    <w:p w:rsidR="00DB6D2A" w:rsidRDefault="00376FC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B6D2A" w:rsidRDefault="00DB6D2A">
      <w:pPr>
        <w:tabs>
          <w:tab w:val="left" w:pos="1418"/>
          <w:tab w:val="left" w:pos="5059"/>
        </w:tabs>
        <w:spacing w:after="0" w:line="240" w:lineRule="auto"/>
        <w:jc w:val="center"/>
        <w:rPr>
          <w:rFonts w:eastAsia="Calibri" w:cs="Arial"/>
          <w:b/>
        </w:rPr>
      </w:pPr>
    </w:p>
    <w:p w:rsidR="00DB6D2A" w:rsidRDefault="00376FC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34/2019</w:t>
      </w:r>
    </w:p>
    <w:p w:rsidR="00DB6D2A" w:rsidRDefault="00376FC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6778/2019</w:t>
      </w:r>
      <w:r>
        <w:rPr>
          <w:rFonts w:eastAsia="Calibri" w:cs="Arial"/>
        </w:rPr>
        <w:tab/>
        <w:t xml:space="preserve">                             </w:t>
      </w:r>
      <w:r>
        <w:rPr>
          <w:rFonts w:eastAsia="Calibri" w:cs="Arial"/>
          <w:b/>
        </w:rPr>
        <w:t>Data:</w:t>
      </w:r>
      <w:r>
        <w:rPr>
          <w:rFonts w:eastAsia="Calibri" w:cs="Arial"/>
        </w:rPr>
        <w:t xml:space="preserve"> 03 de maio de 2019</w:t>
      </w:r>
    </w:p>
    <w:p w:rsidR="00DB6D2A" w:rsidRDefault="00376FC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2522/2019</w:t>
      </w:r>
      <w:r>
        <w:rPr>
          <w:rFonts w:eastAsia="Calibri" w:cs="Arial"/>
        </w:rPr>
        <w:tab/>
        <w:t xml:space="preserve">                                                                        </w:t>
      </w:r>
      <w:r>
        <w:rPr>
          <w:rFonts w:eastAsia="Calibri" w:cs="Arial"/>
          <w:b/>
        </w:rPr>
        <w:t>Autor:</w:t>
      </w:r>
      <w:r>
        <w:rPr>
          <w:rFonts w:eastAsia="Calibri" w:cs="Arial"/>
        </w:rPr>
        <w:t xml:space="preserve"> Poder Executivo</w:t>
      </w:r>
    </w:p>
    <w:p w:rsidR="00DB6D2A" w:rsidRDefault="00376FC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DB6D2A" w:rsidRDefault="00376FC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w:t>
      </w:r>
      <w:r>
        <w:rPr>
          <w:rFonts w:eastAsia="Calibri" w:cs="Arial"/>
        </w:rPr>
        <w:t>blico, nos termos do art. 37, IX da Constituição Federal e art. 76 da Lei Orgânica Municipal e dá outras providências.</w:t>
      </w:r>
    </w:p>
    <w:p w:rsidR="00DB6D2A" w:rsidRDefault="00DB6D2A">
      <w:pPr>
        <w:tabs>
          <w:tab w:val="left" w:pos="1418"/>
          <w:tab w:val="left" w:pos="5059"/>
        </w:tabs>
        <w:spacing w:after="0" w:line="240" w:lineRule="auto"/>
        <w:jc w:val="both"/>
        <w:rPr>
          <w:rFonts w:eastAsia="Calibri" w:cs="Arial"/>
          <w:b/>
        </w:rPr>
      </w:pPr>
    </w:p>
    <w:p w:rsidR="00DB6D2A" w:rsidRDefault="00376FCC">
      <w:pPr>
        <w:tabs>
          <w:tab w:val="left" w:pos="1418"/>
          <w:tab w:val="left" w:pos="5059"/>
        </w:tabs>
        <w:spacing w:after="0" w:line="240" w:lineRule="auto"/>
        <w:jc w:val="center"/>
        <w:rPr>
          <w:rFonts w:eastAsia="Calibri" w:cs="Arial"/>
          <w:b/>
        </w:rPr>
      </w:pPr>
      <w:r>
        <w:rPr>
          <w:rFonts w:eastAsia="Calibri" w:cs="Arial"/>
          <w:b/>
        </w:rPr>
        <w:t>Relatório:</w:t>
      </w:r>
    </w:p>
    <w:p w:rsidR="00DB6D2A" w:rsidRDefault="00DB6D2A">
      <w:pPr>
        <w:tabs>
          <w:tab w:val="left" w:pos="1418"/>
          <w:tab w:val="left" w:pos="5059"/>
        </w:tabs>
        <w:spacing w:after="0" w:line="240" w:lineRule="auto"/>
        <w:jc w:val="center"/>
        <w:rPr>
          <w:rFonts w:eastAsia="Calibri" w:cs="Arial"/>
          <w:b/>
        </w:rPr>
      </w:pPr>
    </w:p>
    <w:p w:rsidR="00DB6D2A" w:rsidRDefault="00376FCC">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w:t>
      </w:r>
      <w:r>
        <w:rPr>
          <w:rFonts w:eastAsia="Calibri" w:cs="Arial"/>
        </w:rPr>
        <w:t>e autorização para realização de processo seletivo simplificado e contratação por tempo determinado, por excepcional interesse público, nos termos do art. 37, IX da Constituição Federal e art. 76 da Lei Orgânica Municipal.</w:t>
      </w:r>
    </w:p>
    <w:p w:rsidR="00DB6D2A" w:rsidRDefault="00DB6D2A">
      <w:pPr>
        <w:tabs>
          <w:tab w:val="left" w:pos="1701"/>
          <w:tab w:val="left" w:pos="5059"/>
        </w:tabs>
        <w:spacing w:after="0" w:line="240" w:lineRule="auto"/>
        <w:jc w:val="both"/>
        <w:rPr>
          <w:rFonts w:eastAsia="Calibri" w:cs="Arial"/>
          <w:b/>
        </w:rPr>
      </w:pPr>
    </w:p>
    <w:p w:rsidR="00DB6D2A" w:rsidRDefault="00376FCC">
      <w:pPr>
        <w:tabs>
          <w:tab w:val="left" w:pos="1418"/>
          <w:tab w:val="left" w:pos="5059"/>
        </w:tabs>
        <w:spacing w:after="0" w:line="240" w:lineRule="auto"/>
        <w:jc w:val="center"/>
        <w:rPr>
          <w:rFonts w:eastAsia="Calibri" w:cs="Arial"/>
          <w:b/>
        </w:rPr>
      </w:pPr>
      <w:r>
        <w:rPr>
          <w:rFonts w:eastAsia="Calibri" w:cs="Arial"/>
          <w:b/>
        </w:rPr>
        <w:t>Análise:</w:t>
      </w:r>
    </w:p>
    <w:p w:rsidR="00DB6D2A" w:rsidRDefault="00DB6D2A">
      <w:pPr>
        <w:tabs>
          <w:tab w:val="left" w:pos="1418"/>
          <w:tab w:val="left" w:pos="5059"/>
        </w:tabs>
        <w:spacing w:after="0" w:line="240" w:lineRule="auto"/>
        <w:jc w:val="center"/>
        <w:rPr>
          <w:rFonts w:eastAsia="Calibri" w:cs="Arial"/>
          <w:b/>
        </w:rPr>
      </w:pPr>
    </w:p>
    <w:p w:rsidR="00DB6D2A" w:rsidRDefault="00376FCC">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w:t>
      </w:r>
      <w:r>
        <w:rPr>
          <w:rFonts w:eastAsia="Calibri" w:cs="Arial"/>
        </w:rPr>
        <w:t>jeto está correta, atendendo o inciso XI do art. 54 da Lei Orgânica Municipal.</w:t>
      </w:r>
    </w:p>
    <w:p w:rsidR="00DB6D2A" w:rsidRDefault="00DB6D2A">
      <w:pPr>
        <w:tabs>
          <w:tab w:val="left" w:pos="1701"/>
          <w:tab w:val="left" w:pos="5059"/>
        </w:tabs>
        <w:spacing w:after="0" w:line="240" w:lineRule="auto"/>
        <w:jc w:val="both"/>
        <w:rPr>
          <w:rFonts w:eastAsia="Calibri" w:cs="Arial"/>
        </w:rPr>
      </w:pPr>
    </w:p>
    <w:p w:rsidR="00DB6D2A" w:rsidRDefault="00376FCC">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rsidR="00DB6D2A" w:rsidRDefault="00DB6D2A">
      <w:pPr>
        <w:tabs>
          <w:tab w:val="left" w:pos="1701"/>
          <w:tab w:val="left" w:pos="5059"/>
        </w:tabs>
        <w:spacing w:after="0" w:line="240" w:lineRule="auto"/>
        <w:ind w:firstLine="1701"/>
        <w:jc w:val="both"/>
        <w:rPr>
          <w:rFonts w:eastAsia="Calibri" w:cs="Arial"/>
        </w:rPr>
      </w:pPr>
    </w:p>
    <w:p w:rsidR="00DB6D2A" w:rsidRDefault="00376FCC">
      <w:pPr>
        <w:tabs>
          <w:tab w:val="left" w:pos="1701"/>
          <w:tab w:val="left" w:pos="5059"/>
        </w:tabs>
        <w:spacing w:after="0" w:line="240" w:lineRule="auto"/>
        <w:ind w:firstLine="1701"/>
        <w:jc w:val="both"/>
        <w:rPr>
          <w:rFonts w:eastAsia="Calibri" w:cs="Arial"/>
        </w:rPr>
      </w:pPr>
      <w:r>
        <w:rPr>
          <w:rFonts w:eastAsia="Calibri" w:cs="Arial"/>
        </w:rPr>
        <w:t>O presente Projeto de Lei que prevê a realização de processo</w:t>
      </w:r>
      <w:r>
        <w:rPr>
          <w:rFonts w:eastAsia="Calibri" w:cs="Arial"/>
        </w:rPr>
        <w:t xml:space="preserve"> seletivo para contratação de agentes de combates a endemias. Conforme justificativa, a contratação dos agentes endêmicos é de extrema necessidade, pois visa efetuar o controle da proliferação e a eliminação do mosquito da Dengue já que o Município de Salt</w:t>
      </w:r>
      <w:r>
        <w:rPr>
          <w:rFonts w:eastAsia="Calibri" w:cs="Arial"/>
        </w:rPr>
        <w:t>o do Jacuí tem apresentado altos índices de infestação.</w:t>
      </w:r>
    </w:p>
    <w:p w:rsidR="00DB6D2A" w:rsidRDefault="00DB6D2A">
      <w:pPr>
        <w:tabs>
          <w:tab w:val="left" w:pos="1701"/>
          <w:tab w:val="left" w:pos="5059"/>
        </w:tabs>
        <w:spacing w:after="0" w:line="240" w:lineRule="auto"/>
        <w:ind w:firstLine="1701"/>
        <w:jc w:val="both"/>
        <w:rPr>
          <w:rFonts w:eastAsia="Calibri" w:cs="Arial"/>
        </w:rPr>
      </w:pPr>
    </w:p>
    <w:p w:rsidR="00DB6D2A" w:rsidRDefault="00376FCC">
      <w:pPr>
        <w:tabs>
          <w:tab w:val="left" w:pos="1701"/>
          <w:tab w:val="left" w:pos="5059"/>
        </w:tabs>
        <w:spacing w:after="0" w:line="240" w:lineRule="auto"/>
        <w:ind w:firstLine="1701"/>
        <w:jc w:val="both"/>
        <w:rPr>
          <w:rFonts w:eastAsia="Calibri" w:cs="Arial"/>
        </w:rPr>
      </w:pPr>
      <w:r>
        <w:rPr>
          <w:rFonts w:eastAsia="Calibri" w:cs="Arial"/>
        </w:rPr>
        <w:t>Conclui-se que o Projeto de Lei nº 2522, está em condições de tramitar, visto que adequada a iniciativa legislativa e acompanhado de justificativa. Ressalta-se que o Poder Executivo encaminhou Mensag</w:t>
      </w:r>
      <w:r>
        <w:rPr>
          <w:rFonts w:eastAsia="Calibri" w:cs="Arial"/>
        </w:rPr>
        <w:t xml:space="preserve">em Retificativa promovendo adequações no texto do projeto e estabelecendo o prazo da contratação. </w:t>
      </w:r>
    </w:p>
    <w:p w:rsidR="00DB6D2A" w:rsidRDefault="00DB6D2A">
      <w:pPr>
        <w:tabs>
          <w:tab w:val="left" w:pos="1701"/>
          <w:tab w:val="left" w:pos="5059"/>
        </w:tabs>
        <w:spacing w:after="0" w:line="240" w:lineRule="auto"/>
        <w:ind w:firstLine="1701"/>
        <w:jc w:val="both"/>
        <w:rPr>
          <w:rFonts w:eastAsia="Calibri" w:cs="Arial"/>
        </w:rPr>
      </w:pPr>
    </w:p>
    <w:p w:rsidR="00DB6D2A" w:rsidRDefault="00376FCC">
      <w:pPr>
        <w:tabs>
          <w:tab w:val="left" w:pos="1418"/>
          <w:tab w:val="left" w:pos="5059"/>
        </w:tabs>
        <w:spacing w:after="0" w:line="240" w:lineRule="auto"/>
        <w:jc w:val="center"/>
        <w:rPr>
          <w:rFonts w:eastAsia="Calibri" w:cs="Arial"/>
          <w:b/>
        </w:rPr>
      </w:pPr>
      <w:r>
        <w:rPr>
          <w:rFonts w:eastAsia="Calibri" w:cs="Arial"/>
          <w:b/>
        </w:rPr>
        <w:t>Conclusão do Voto:</w:t>
      </w:r>
    </w:p>
    <w:p w:rsidR="00DB6D2A" w:rsidRDefault="00DB6D2A">
      <w:pPr>
        <w:tabs>
          <w:tab w:val="left" w:pos="1418"/>
          <w:tab w:val="left" w:pos="5059"/>
        </w:tabs>
        <w:spacing w:after="0" w:line="240" w:lineRule="auto"/>
        <w:jc w:val="both"/>
        <w:rPr>
          <w:rFonts w:eastAsia="Calibri" w:cs="Arial"/>
        </w:rPr>
      </w:pPr>
    </w:p>
    <w:p w:rsidR="00DB6D2A" w:rsidRDefault="00376FCC">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w:t>
      </w:r>
      <w:r>
        <w:rPr>
          <w:rFonts w:eastAsia="Calibri" w:cs="Arial"/>
        </w:rPr>
        <w:t>mitação da matéria.</w:t>
      </w:r>
    </w:p>
    <w:p w:rsidR="00DB6D2A" w:rsidRDefault="00DB6D2A">
      <w:pPr>
        <w:tabs>
          <w:tab w:val="left" w:pos="1418"/>
          <w:tab w:val="left" w:pos="5059"/>
        </w:tabs>
        <w:spacing w:after="0" w:line="240" w:lineRule="auto"/>
        <w:jc w:val="both"/>
        <w:rPr>
          <w:rFonts w:eastAsia="Calibri" w:cs="Arial"/>
        </w:rPr>
      </w:pPr>
    </w:p>
    <w:p w:rsidR="00DB6D2A" w:rsidRDefault="00376FCC">
      <w:pPr>
        <w:tabs>
          <w:tab w:val="left" w:pos="1701"/>
          <w:tab w:val="left" w:pos="5059"/>
        </w:tabs>
        <w:spacing w:after="0" w:line="240" w:lineRule="auto"/>
        <w:jc w:val="both"/>
        <w:rPr>
          <w:rFonts w:eastAsia="Calibri" w:cs="Arial"/>
        </w:rPr>
      </w:pPr>
      <w:r>
        <w:rPr>
          <w:rFonts w:eastAsia="Calibri" w:cs="Arial"/>
        </w:rPr>
        <w:tab/>
        <w:t>Sala das Comissões, em 10 de maio de 2019.</w:t>
      </w:r>
    </w:p>
    <w:p w:rsidR="00DB6D2A" w:rsidRDefault="00376FCC">
      <w:pPr>
        <w:tabs>
          <w:tab w:val="left" w:pos="1701"/>
          <w:tab w:val="left" w:pos="5059"/>
        </w:tabs>
        <w:spacing w:after="0" w:line="240" w:lineRule="auto"/>
        <w:jc w:val="both"/>
        <w:rPr>
          <w:rFonts w:eastAsia="Calibri" w:cs="Arial"/>
        </w:rPr>
      </w:pPr>
      <w:r>
        <w:rPr>
          <w:rFonts w:eastAsia="Calibri" w:cs="Arial"/>
        </w:rPr>
        <w:tab/>
      </w:r>
    </w:p>
    <w:p w:rsidR="00DB6D2A" w:rsidRDefault="00376FCC">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DB6D2A" w:rsidRDefault="00DB6D2A">
      <w:pPr>
        <w:tabs>
          <w:tab w:val="left" w:pos="1418"/>
          <w:tab w:val="left" w:pos="5059"/>
        </w:tabs>
        <w:spacing w:after="0" w:line="240" w:lineRule="auto"/>
        <w:jc w:val="both"/>
        <w:rPr>
          <w:rFonts w:eastAsia="Calibri" w:cs="Arial"/>
        </w:rPr>
      </w:pPr>
    </w:p>
    <w:p w:rsidR="00DB6D2A" w:rsidRDefault="00376FCC">
      <w:pPr>
        <w:tabs>
          <w:tab w:val="left" w:pos="1418"/>
          <w:tab w:val="left" w:pos="5059"/>
        </w:tabs>
        <w:spacing w:after="0" w:line="240" w:lineRule="auto"/>
        <w:jc w:val="both"/>
        <w:rPr>
          <w:rFonts w:eastAsia="Calibri" w:cs="Arial"/>
          <w:b/>
        </w:rPr>
      </w:pPr>
      <w:r>
        <w:rPr>
          <w:rFonts w:eastAsia="Calibri" w:cs="Arial"/>
          <w:b/>
        </w:rPr>
        <w:t>Pelas conclusões:</w:t>
      </w:r>
    </w:p>
    <w:p w:rsidR="00DB6D2A" w:rsidRDefault="00DB6D2A">
      <w:pPr>
        <w:tabs>
          <w:tab w:val="left" w:pos="1418"/>
          <w:tab w:val="left" w:pos="5059"/>
        </w:tabs>
        <w:spacing w:after="0" w:line="240" w:lineRule="auto"/>
        <w:jc w:val="both"/>
        <w:rPr>
          <w:rFonts w:eastAsia="Calibri" w:cs="Arial"/>
        </w:rPr>
      </w:pPr>
    </w:p>
    <w:p w:rsidR="00DB6D2A" w:rsidRDefault="00376FC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DB6D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CC" w:rsidRDefault="00376FCC">
      <w:pPr>
        <w:spacing w:after="0" w:line="240" w:lineRule="auto"/>
      </w:pPr>
      <w:r>
        <w:separator/>
      </w:r>
    </w:p>
  </w:endnote>
  <w:endnote w:type="continuationSeparator" w:id="0">
    <w:p w:rsidR="00376FCC" w:rsidRDefault="0037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CC" w:rsidRDefault="00376FCC">
      <w:pPr>
        <w:spacing w:after="0" w:line="240" w:lineRule="auto"/>
      </w:pPr>
      <w:r>
        <w:separator/>
      </w:r>
    </w:p>
  </w:footnote>
  <w:footnote w:type="continuationSeparator" w:id="0">
    <w:p w:rsidR="00376FCC" w:rsidRDefault="0037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2A"/>
    <w:rsid w:val="00376FCC"/>
    <w:rsid w:val="00694A8D"/>
    <w:rsid w:val="00DB6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6FA4E-128A-4788-A6BE-0093F0D9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2019-12-30T01:09:00Z</dcterms:created>
  <dcterms:modified xsi:type="dcterms:W3CDTF">2019-12-30T01:09:00Z</dcterms:modified>
</cp:coreProperties>
</file>