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97E" w:rsidRDefault="003A697E">
      <w:pPr>
        <w:tabs>
          <w:tab w:val="left" w:pos="1418"/>
          <w:tab w:val="left" w:pos="5059"/>
        </w:tabs>
        <w:spacing w:after="0" w:line="240" w:lineRule="auto"/>
        <w:jc w:val="center"/>
        <w:rPr>
          <w:rFonts w:eastAsia="Calibri" w:cs="Arial"/>
          <w:b/>
        </w:rPr>
      </w:pPr>
      <w:bookmarkStart w:id="0" w:name="_GoBack"/>
      <w:bookmarkEnd w:id="0"/>
    </w:p>
    <w:p w:rsidR="003A697E" w:rsidRDefault="003A697E">
      <w:pPr>
        <w:tabs>
          <w:tab w:val="left" w:pos="1418"/>
          <w:tab w:val="left" w:pos="5059"/>
        </w:tabs>
        <w:spacing w:after="0" w:line="240" w:lineRule="auto"/>
        <w:jc w:val="center"/>
        <w:rPr>
          <w:rFonts w:eastAsia="Calibri" w:cs="Arial"/>
          <w:b/>
        </w:rPr>
      </w:pPr>
    </w:p>
    <w:p w:rsidR="003A697E" w:rsidRDefault="003A697E">
      <w:pPr>
        <w:tabs>
          <w:tab w:val="left" w:pos="1418"/>
          <w:tab w:val="left" w:pos="5059"/>
        </w:tabs>
        <w:spacing w:after="0" w:line="240" w:lineRule="auto"/>
        <w:jc w:val="center"/>
        <w:rPr>
          <w:rFonts w:eastAsia="Calibri" w:cs="Arial"/>
          <w:b/>
        </w:rPr>
      </w:pPr>
    </w:p>
    <w:p w:rsidR="003A697E" w:rsidRDefault="00B92102">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3A697E" w:rsidRDefault="003A697E">
      <w:pPr>
        <w:tabs>
          <w:tab w:val="left" w:pos="1418"/>
          <w:tab w:val="left" w:pos="5059"/>
        </w:tabs>
        <w:spacing w:after="0" w:line="240" w:lineRule="auto"/>
        <w:jc w:val="center"/>
        <w:rPr>
          <w:rFonts w:eastAsia="Calibri" w:cs="Arial"/>
          <w:b/>
        </w:rPr>
      </w:pPr>
    </w:p>
    <w:p w:rsidR="003A697E" w:rsidRDefault="00B92102">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29/2019</w:t>
      </w:r>
    </w:p>
    <w:p w:rsidR="003A697E" w:rsidRDefault="00B92102">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6764/2019</w:t>
      </w:r>
      <w:r>
        <w:rPr>
          <w:rFonts w:eastAsia="Calibri" w:cs="Arial"/>
        </w:rPr>
        <w:tab/>
        <w:t xml:space="preserve">                             </w:t>
      </w:r>
      <w:r>
        <w:rPr>
          <w:rFonts w:eastAsia="Calibri" w:cs="Arial"/>
          <w:b/>
        </w:rPr>
        <w:t>Data:</w:t>
      </w:r>
      <w:r>
        <w:rPr>
          <w:rFonts w:eastAsia="Calibri" w:cs="Arial"/>
        </w:rPr>
        <w:t xml:space="preserve"> 17 de abril de 2019</w:t>
      </w:r>
    </w:p>
    <w:p w:rsidR="003A697E" w:rsidRDefault="00B92102">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2520/2019</w:t>
      </w:r>
      <w:r>
        <w:rPr>
          <w:rFonts w:eastAsia="Calibri" w:cs="Arial"/>
        </w:rPr>
        <w:tab/>
        <w:t xml:space="preserve">                                                                        </w:t>
      </w:r>
      <w:r>
        <w:rPr>
          <w:rFonts w:eastAsia="Calibri" w:cs="Arial"/>
          <w:b/>
        </w:rPr>
        <w:t>Autor:</w:t>
      </w:r>
      <w:r>
        <w:rPr>
          <w:rFonts w:eastAsia="Calibri" w:cs="Arial"/>
        </w:rPr>
        <w:t xml:space="preserve"> Poder Executivo</w:t>
      </w:r>
    </w:p>
    <w:p w:rsidR="003A697E" w:rsidRDefault="00B92102">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3A697E" w:rsidRDefault="00B92102">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Autoriza o Poder Executivo municipal a realizar a abertura de crédito adicional especial no valor de R$ 3.200,00 (três mil e duzentos reais) e</w:t>
      </w:r>
      <w:r>
        <w:rPr>
          <w:rFonts w:eastAsia="Calibri" w:cs="Arial"/>
        </w:rPr>
        <w:t xml:space="preserve"> dá outras providências.</w:t>
      </w:r>
    </w:p>
    <w:p w:rsidR="003A697E" w:rsidRDefault="003A697E">
      <w:pPr>
        <w:tabs>
          <w:tab w:val="left" w:pos="1418"/>
          <w:tab w:val="left" w:pos="5059"/>
        </w:tabs>
        <w:spacing w:after="0" w:line="240" w:lineRule="auto"/>
        <w:jc w:val="both"/>
        <w:rPr>
          <w:rFonts w:eastAsia="Calibri" w:cs="Arial"/>
        </w:rPr>
      </w:pPr>
    </w:p>
    <w:p w:rsidR="003A697E" w:rsidRDefault="003A697E">
      <w:pPr>
        <w:tabs>
          <w:tab w:val="left" w:pos="1418"/>
          <w:tab w:val="left" w:pos="5059"/>
        </w:tabs>
        <w:spacing w:after="0" w:line="240" w:lineRule="auto"/>
        <w:jc w:val="both"/>
        <w:rPr>
          <w:rFonts w:eastAsia="Calibri" w:cs="Arial"/>
          <w:b/>
        </w:rPr>
      </w:pPr>
    </w:p>
    <w:p w:rsidR="003A697E" w:rsidRDefault="00B92102">
      <w:pPr>
        <w:tabs>
          <w:tab w:val="left" w:pos="1418"/>
          <w:tab w:val="left" w:pos="5059"/>
        </w:tabs>
        <w:spacing w:after="0" w:line="240" w:lineRule="auto"/>
        <w:jc w:val="center"/>
        <w:rPr>
          <w:rFonts w:eastAsia="Calibri" w:cs="Arial"/>
          <w:b/>
        </w:rPr>
      </w:pPr>
      <w:r>
        <w:rPr>
          <w:rFonts w:eastAsia="Calibri" w:cs="Arial"/>
          <w:b/>
        </w:rPr>
        <w:t>Relatório:</w:t>
      </w:r>
    </w:p>
    <w:p w:rsidR="003A697E" w:rsidRDefault="003A697E">
      <w:pPr>
        <w:tabs>
          <w:tab w:val="left" w:pos="1418"/>
          <w:tab w:val="left" w:pos="5059"/>
        </w:tabs>
        <w:spacing w:after="0" w:line="240" w:lineRule="auto"/>
        <w:jc w:val="center"/>
        <w:rPr>
          <w:rFonts w:eastAsia="Calibri" w:cs="Arial"/>
          <w:b/>
        </w:rPr>
      </w:pPr>
    </w:p>
    <w:p w:rsidR="003A697E" w:rsidRDefault="00B92102">
      <w:pPr>
        <w:tabs>
          <w:tab w:val="left" w:pos="1701"/>
          <w:tab w:val="left" w:pos="5059"/>
        </w:tabs>
        <w:spacing w:after="0" w:line="240" w:lineRule="auto"/>
        <w:jc w:val="both"/>
        <w:rPr>
          <w:rFonts w:eastAsia="Calibri" w:cs="Arial"/>
        </w:rPr>
      </w:pPr>
      <w:r>
        <w:rPr>
          <w:rFonts w:eastAsia="Calibri" w:cs="Arial"/>
        </w:rPr>
        <w:t>1.</w:t>
      </w:r>
      <w:r>
        <w:rPr>
          <w:rFonts w:eastAsia="Calibri" w:cs="Arial"/>
        </w:rPr>
        <w:tab/>
        <w:t xml:space="preserve">O Projeto de Lei em análise foi apresentado nesta Casa Legislativa no dia 17 de abril de 2019 e tem como objetivo pedido de autorização para abertura de crédito adicional especial no valor de R$ 3.200,00 (três mil </w:t>
      </w:r>
      <w:r>
        <w:rPr>
          <w:rFonts w:eastAsia="Calibri" w:cs="Arial"/>
        </w:rPr>
        <w:t>e duzentos reais).</w:t>
      </w:r>
    </w:p>
    <w:p w:rsidR="003A697E" w:rsidRDefault="003A697E">
      <w:pPr>
        <w:tabs>
          <w:tab w:val="left" w:pos="1701"/>
          <w:tab w:val="left" w:pos="5059"/>
        </w:tabs>
        <w:spacing w:after="0" w:line="240" w:lineRule="auto"/>
        <w:jc w:val="both"/>
        <w:rPr>
          <w:rFonts w:eastAsia="Calibri" w:cs="Arial"/>
          <w:b/>
        </w:rPr>
      </w:pPr>
    </w:p>
    <w:p w:rsidR="003A697E" w:rsidRDefault="00B92102">
      <w:pPr>
        <w:tabs>
          <w:tab w:val="left" w:pos="1418"/>
          <w:tab w:val="left" w:pos="5059"/>
        </w:tabs>
        <w:spacing w:after="0" w:line="240" w:lineRule="auto"/>
        <w:jc w:val="center"/>
        <w:rPr>
          <w:rFonts w:eastAsia="Calibri" w:cs="Arial"/>
          <w:b/>
        </w:rPr>
      </w:pPr>
      <w:r>
        <w:rPr>
          <w:rFonts w:eastAsia="Calibri" w:cs="Arial"/>
          <w:b/>
        </w:rPr>
        <w:t>Análise:</w:t>
      </w:r>
    </w:p>
    <w:p w:rsidR="003A697E" w:rsidRDefault="003A697E">
      <w:pPr>
        <w:tabs>
          <w:tab w:val="left" w:pos="1418"/>
          <w:tab w:val="left" w:pos="5059"/>
        </w:tabs>
        <w:spacing w:after="0" w:line="240" w:lineRule="auto"/>
        <w:jc w:val="center"/>
        <w:rPr>
          <w:rFonts w:eastAsia="Calibri" w:cs="Arial"/>
          <w:b/>
        </w:rPr>
      </w:pPr>
    </w:p>
    <w:p w:rsidR="003A697E" w:rsidRDefault="00B92102">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para deflagrar o processo legislativo está corretamente exercida, pois pertence ao Executivo Municipal a competência privativa para iniciar o processo, nos termos do art. 165, inciso III da Constituição Federal</w:t>
      </w:r>
      <w:r>
        <w:rPr>
          <w:rFonts w:eastAsia="Calibri" w:cs="Arial"/>
        </w:rPr>
        <w:t>.</w:t>
      </w:r>
    </w:p>
    <w:p w:rsidR="003A697E" w:rsidRDefault="003A697E">
      <w:pPr>
        <w:tabs>
          <w:tab w:val="left" w:pos="1701"/>
          <w:tab w:val="left" w:pos="5059"/>
        </w:tabs>
        <w:spacing w:after="0" w:line="240" w:lineRule="auto"/>
        <w:jc w:val="both"/>
        <w:rPr>
          <w:rFonts w:eastAsia="Calibri" w:cs="Arial"/>
        </w:rPr>
      </w:pPr>
    </w:p>
    <w:p w:rsidR="003A697E" w:rsidRDefault="00B92102">
      <w:pPr>
        <w:tabs>
          <w:tab w:val="left" w:pos="1701"/>
          <w:tab w:val="left" w:pos="5059"/>
        </w:tabs>
        <w:spacing w:after="0" w:line="240" w:lineRule="auto"/>
        <w:ind w:firstLine="1701"/>
        <w:jc w:val="both"/>
        <w:rPr>
          <w:rFonts w:eastAsia="Calibri" w:cs="Arial"/>
        </w:rPr>
      </w:pPr>
      <w:r>
        <w:rPr>
          <w:rFonts w:eastAsia="Calibri" w:cs="Arial"/>
        </w:rPr>
        <w:t xml:space="preserve">Conforme Justificativa do Projeto, na Lei Orçamentaria Anual de 2019 não foi contemplada a dotação orçamentária referente a despesas da prestação de serviços por pessoas jurídicas para órgãos e entidades da Administração Pública, relacionadas à </w:t>
      </w:r>
      <w:r>
        <w:rPr>
          <w:rFonts w:eastAsia="Calibri" w:cs="Arial"/>
        </w:rPr>
        <w:t>Tecnologia da Informação e Comunicação – TIC (3.3.90.40.00.00), e para a correta classificação contábil e orçamentária, encaminhou-se o presente projeto.</w:t>
      </w:r>
    </w:p>
    <w:p w:rsidR="003A697E" w:rsidRDefault="003A697E">
      <w:pPr>
        <w:tabs>
          <w:tab w:val="left" w:pos="1701"/>
          <w:tab w:val="left" w:pos="5059"/>
        </w:tabs>
        <w:spacing w:after="0" w:line="240" w:lineRule="auto"/>
        <w:ind w:firstLine="1701"/>
        <w:jc w:val="both"/>
        <w:rPr>
          <w:rFonts w:eastAsia="Calibri" w:cs="Arial"/>
        </w:rPr>
      </w:pPr>
    </w:p>
    <w:p w:rsidR="003A697E" w:rsidRDefault="003A697E">
      <w:pPr>
        <w:tabs>
          <w:tab w:val="left" w:pos="1701"/>
          <w:tab w:val="left" w:pos="5059"/>
        </w:tabs>
        <w:spacing w:after="0" w:line="240" w:lineRule="auto"/>
        <w:jc w:val="both"/>
        <w:rPr>
          <w:rFonts w:eastAsia="Calibri" w:cs="Arial"/>
          <w:b/>
        </w:rPr>
      </w:pPr>
    </w:p>
    <w:p w:rsidR="003A697E" w:rsidRDefault="00B92102">
      <w:pPr>
        <w:tabs>
          <w:tab w:val="left" w:pos="1418"/>
          <w:tab w:val="left" w:pos="5059"/>
        </w:tabs>
        <w:spacing w:after="0" w:line="240" w:lineRule="auto"/>
        <w:jc w:val="center"/>
        <w:rPr>
          <w:rFonts w:eastAsia="Calibri" w:cs="Arial"/>
          <w:b/>
        </w:rPr>
      </w:pPr>
      <w:r>
        <w:rPr>
          <w:rFonts w:eastAsia="Calibri" w:cs="Arial"/>
          <w:b/>
        </w:rPr>
        <w:t>Conclusão do Voto:</w:t>
      </w:r>
    </w:p>
    <w:p w:rsidR="003A697E" w:rsidRDefault="003A697E">
      <w:pPr>
        <w:tabs>
          <w:tab w:val="left" w:pos="1418"/>
          <w:tab w:val="left" w:pos="5059"/>
        </w:tabs>
        <w:spacing w:after="0" w:line="240" w:lineRule="auto"/>
        <w:jc w:val="both"/>
        <w:rPr>
          <w:rFonts w:eastAsia="Calibri" w:cs="Arial"/>
        </w:rPr>
      </w:pPr>
    </w:p>
    <w:p w:rsidR="003A697E" w:rsidRDefault="00B92102">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w:t>
      </w:r>
      <w:r>
        <w:rPr>
          <w:rFonts w:eastAsia="Calibri" w:cs="Arial"/>
        </w:rPr>
        <w:t>a Comissão disponibiliza o presente Voto favorável à tramitação da matéria.</w:t>
      </w:r>
    </w:p>
    <w:p w:rsidR="003A697E" w:rsidRDefault="003A697E">
      <w:pPr>
        <w:tabs>
          <w:tab w:val="left" w:pos="1701"/>
          <w:tab w:val="left" w:pos="5059"/>
        </w:tabs>
        <w:spacing w:after="0" w:line="240" w:lineRule="auto"/>
        <w:jc w:val="both"/>
        <w:rPr>
          <w:rFonts w:eastAsia="Calibri" w:cs="Arial"/>
        </w:rPr>
      </w:pPr>
    </w:p>
    <w:p w:rsidR="003A697E" w:rsidRDefault="003A697E">
      <w:pPr>
        <w:tabs>
          <w:tab w:val="left" w:pos="1418"/>
          <w:tab w:val="left" w:pos="5059"/>
        </w:tabs>
        <w:spacing w:after="0" w:line="240" w:lineRule="auto"/>
        <w:jc w:val="both"/>
        <w:rPr>
          <w:rFonts w:eastAsia="Calibri" w:cs="Arial"/>
        </w:rPr>
      </w:pPr>
    </w:p>
    <w:p w:rsidR="003A697E" w:rsidRDefault="00B92102">
      <w:pPr>
        <w:tabs>
          <w:tab w:val="left" w:pos="1701"/>
          <w:tab w:val="left" w:pos="5059"/>
        </w:tabs>
        <w:spacing w:after="0" w:line="240" w:lineRule="auto"/>
        <w:jc w:val="both"/>
        <w:rPr>
          <w:rFonts w:eastAsia="Calibri" w:cs="Arial"/>
        </w:rPr>
      </w:pPr>
      <w:r>
        <w:rPr>
          <w:rFonts w:eastAsia="Calibri" w:cs="Arial"/>
        </w:rPr>
        <w:tab/>
        <w:t>Sala das Comissões, em 2 de maio de 2019.</w:t>
      </w:r>
    </w:p>
    <w:p w:rsidR="003A697E" w:rsidRDefault="00B92102">
      <w:pPr>
        <w:tabs>
          <w:tab w:val="left" w:pos="1701"/>
          <w:tab w:val="left" w:pos="5059"/>
        </w:tabs>
        <w:spacing w:after="0" w:line="240" w:lineRule="auto"/>
        <w:jc w:val="both"/>
        <w:rPr>
          <w:rFonts w:eastAsia="Calibri" w:cs="Arial"/>
        </w:rPr>
      </w:pPr>
      <w:r>
        <w:rPr>
          <w:rFonts w:eastAsia="Calibri" w:cs="Arial"/>
        </w:rPr>
        <w:tab/>
      </w:r>
    </w:p>
    <w:p w:rsidR="003A697E" w:rsidRDefault="003A697E">
      <w:pPr>
        <w:tabs>
          <w:tab w:val="left" w:pos="1701"/>
          <w:tab w:val="left" w:pos="5059"/>
        </w:tabs>
        <w:spacing w:after="0" w:line="240" w:lineRule="auto"/>
        <w:jc w:val="both"/>
        <w:rPr>
          <w:rFonts w:eastAsia="Calibri" w:cs="Arial"/>
        </w:rPr>
      </w:pPr>
    </w:p>
    <w:p w:rsidR="003A697E" w:rsidRDefault="00B92102">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3A697E" w:rsidRDefault="003A697E">
      <w:pPr>
        <w:tabs>
          <w:tab w:val="left" w:pos="1418"/>
          <w:tab w:val="left" w:pos="5059"/>
        </w:tabs>
        <w:spacing w:after="0" w:line="240" w:lineRule="auto"/>
        <w:jc w:val="both"/>
        <w:rPr>
          <w:rFonts w:eastAsia="Calibri" w:cs="Arial"/>
        </w:rPr>
      </w:pPr>
    </w:p>
    <w:p w:rsidR="003A697E" w:rsidRDefault="003A697E">
      <w:pPr>
        <w:tabs>
          <w:tab w:val="left" w:pos="1418"/>
          <w:tab w:val="left" w:pos="5059"/>
        </w:tabs>
        <w:spacing w:after="0" w:line="240" w:lineRule="auto"/>
        <w:jc w:val="both"/>
        <w:rPr>
          <w:rFonts w:eastAsia="Calibri" w:cs="Arial"/>
          <w:b/>
        </w:rPr>
      </w:pPr>
    </w:p>
    <w:p w:rsidR="003A697E" w:rsidRDefault="00B92102">
      <w:pPr>
        <w:tabs>
          <w:tab w:val="left" w:pos="1418"/>
          <w:tab w:val="left" w:pos="5059"/>
        </w:tabs>
        <w:spacing w:after="0" w:line="240" w:lineRule="auto"/>
        <w:jc w:val="both"/>
        <w:rPr>
          <w:rFonts w:eastAsia="Calibri" w:cs="Arial"/>
          <w:b/>
        </w:rPr>
      </w:pPr>
      <w:r>
        <w:rPr>
          <w:rFonts w:eastAsia="Calibri" w:cs="Arial"/>
          <w:b/>
        </w:rPr>
        <w:t>Pelas conclusões:</w:t>
      </w:r>
    </w:p>
    <w:p w:rsidR="003A697E" w:rsidRDefault="003A697E">
      <w:pPr>
        <w:tabs>
          <w:tab w:val="left" w:pos="1418"/>
          <w:tab w:val="left" w:pos="5059"/>
        </w:tabs>
        <w:spacing w:after="0" w:line="240" w:lineRule="auto"/>
        <w:jc w:val="both"/>
        <w:rPr>
          <w:rFonts w:eastAsia="Calibri" w:cs="Arial"/>
        </w:rPr>
      </w:pPr>
    </w:p>
    <w:p w:rsidR="003A697E" w:rsidRDefault="003A697E">
      <w:pPr>
        <w:tabs>
          <w:tab w:val="left" w:pos="1418"/>
          <w:tab w:val="left" w:pos="5059"/>
        </w:tabs>
        <w:spacing w:after="0" w:line="240" w:lineRule="auto"/>
        <w:jc w:val="both"/>
        <w:rPr>
          <w:rFonts w:eastAsia="Calibri" w:cs="Arial"/>
        </w:rPr>
      </w:pPr>
    </w:p>
    <w:p w:rsidR="003A697E" w:rsidRDefault="00B92102">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w:t>
      </w:r>
      <w:r>
        <w:rPr>
          <w:rFonts w:eastAsia="Calibri" w:cs="Arial"/>
        </w:rPr>
        <w:t>air Dessbessel</w:t>
      </w:r>
    </w:p>
    <w:sectPr w:rsidR="003A697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102" w:rsidRDefault="00B92102">
      <w:pPr>
        <w:spacing w:after="0" w:line="240" w:lineRule="auto"/>
      </w:pPr>
      <w:r>
        <w:separator/>
      </w:r>
    </w:p>
  </w:endnote>
  <w:endnote w:type="continuationSeparator" w:id="0">
    <w:p w:rsidR="00B92102" w:rsidRDefault="00B92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102" w:rsidRDefault="00B92102">
      <w:pPr>
        <w:spacing w:after="0" w:line="240" w:lineRule="auto"/>
      </w:pPr>
      <w:r>
        <w:separator/>
      </w:r>
    </w:p>
  </w:footnote>
  <w:footnote w:type="continuationSeparator" w:id="0">
    <w:p w:rsidR="00B92102" w:rsidRDefault="00B92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97E"/>
    <w:rsid w:val="003A697E"/>
    <w:rsid w:val="00B92102"/>
    <w:rsid w:val="00BE4A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D72720-151B-4DC6-8C39-F96334DF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1510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2019-04-18T12:01:00Z</cp:lastPrinted>
  <dcterms:created xsi:type="dcterms:W3CDTF">2019-12-30T01:17:00Z</dcterms:created>
  <dcterms:modified xsi:type="dcterms:W3CDTF">2019-12-30T01:17:00Z</dcterms:modified>
</cp:coreProperties>
</file>