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D0F" w:rsidRDefault="004B7D0F">
      <w:pPr>
        <w:tabs>
          <w:tab w:val="left" w:pos="1418"/>
          <w:tab w:val="left" w:pos="5059"/>
        </w:tabs>
        <w:spacing w:after="0" w:line="240" w:lineRule="auto"/>
        <w:jc w:val="center"/>
        <w:rPr>
          <w:rFonts w:eastAsia="Calibri" w:cs="Arial"/>
          <w:b/>
        </w:rPr>
      </w:pPr>
      <w:bookmarkStart w:id="0" w:name="_GoBack"/>
      <w:bookmarkEnd w:id="0"/>
    </w:p>
    <w:p w:rsidR="004B7D0F" w:rsidRDefault="004B7D0F">
      <w:pPr>
        <w:tabs>
          <w:tab w:val="left" w:pos="1418"/>
          <w:tab w:val="left" w:pos="5059"/>
        </w:tabs>
        <w:spacing w:after="0" w:line="240" w:lineRule="auto"/>
        <w:jc w:val="center"/>
        <w:rPr>
          <w:rFonts w:eastAsia="Calibri" w:cs="Arial"/>
          <w:b/>
        </w:rPr>
      </w:pPr>
    </w:p>
    <w:p w:rsidR="004B7D0F" w:rsidRDefault="004B7D0F">
      <w:pPr>
        <w:tabs>
          <w:tab w:val="left" w:pos="1418"/>
          <w:tab w:val="left" w:pos="5059"/>
        </w:tabs>
        <w:spacing w:after="0" w:line="240" w:lineRule="auto"/>
        <w:jc w:val="center"/>
        <w:rPr>
          <w:rFonts w:eastAsia="Calibri" w:cs="Arial"/>
          <w:b/>
        </w:rPr>
      </w:pPr>
    </w:p>
    <w:p w:rsidR="004B7D0F" w:rsidRDefault="00EC63A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4B7D0F" w:rsidRDefault="004B7D0F">
      <w:pPr>
        <w:tabs>
          <w:tab w:val="left" w:pos="1418"/>
          <w:tab w:val="left" w:pos="5059"/>
        </w:tabs>
        <w:spacing w:after="0" w:line="240" w:lineRule="auto"/>
        <w:jc w:val="center"/>
        <w:rPr>
          <w:rFonts w:eastAsia="Calibri" w:cs="Arial"/>
          <w:b/>
        </w:rPr>
      </w:pPr>
    </w:p>
    <w:p w:rsidR="004B7D0F" w:rsidRDefault="00EC63A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27/2019</w:t>
      </w:r>
    </w:p>
    <w:p w:rsidR="004B7D0F" w:rsidRDefault="00EC63A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6760/2019</w:t>
      </w:r>
      <w:r>
        <w:rPr>
          <w:rFonts w:eastAsia="Calibri" w:cs="Arial"/>
        </w:rPr>
        <w:tab/>
        <w:t xml:space="preserve">                             </w:t>
      </w:r>
      <w:r>
        <w:rPr>
          <w:rFonts w:eastAsia="Calibri" w:cs="Arial"/>
          <w:b/>
        </w:rPr>
        <w:t>Data:</w:t>
      </w:r>
      <w:r>
        <w:rPr>
          <w:rFonts w:eastAsia="Calibri" w:cs="Arial"/>
        </w:rPr>
        <w:t xml:space="preserve"> 15 de abril de 2019</w:t>
      </w:r>
    </w:p>
    <w:p w:rsidR="004B7D0F" w:rsidRDefault="00EC63A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2518/2019</w:t>
      </w:r>
      <w:r>
        <w:rPr>
          <w:rFonts w:eastAsia="Calibri" w:cs="Arial"/>
        </w:rPr>
        <w:tab/>
        <w:t xml:space="preserve">                                                                        </w:t>
      </w:r>
      <w:r>
        <w:rPr>
          <w:rFonts w:eastAsia="Calibri" w:cs="Arial"/>
          <w:b/>
        </w:rPr>
        <w:t>Autor:</w:t>
      </w:r>
      <w:r>
        <w:rPr>
          <w:rFonts w:eastAsia="Calibri" w:cs="Arial"/>
        </w:rPr>
        <w:t xml:space="preserve"> Poder Executivo</w:t>
      </w:r>
    </w:p>
    <w:p w:rsidR="004B7D0F" w:rsidRDefault="00EC63A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4B7D0F" w:rsidRDefault="00EC63A9">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rPr>
        <w:t>Cria o Fundo Municipal de Cultura do Município de Salto do Jacuí e dá outras providências.</w:t>
      </w:r>
    </w:p>
    <w:p w:rsidR="004B7D0F" w:rsidRDefault="00EC63A9">
      <w:pPr>
        <w:tabs>
          <w:tab w:val="left" w:pos="1418"/>
          <w:tab w:val="left" w:pos="5059"/>
        </w:tabs>
        <w:spacing w:after="0" w:line="240" w:lineRule="auto"/>
        <w:jc w:val="center"/>
        <w:rPr>
          <w:rFonts w:eastAsia="Calibri" w:cs="Arial"/>
          <w:b/>
        </w:rPr>
      </w:pPr>
      <w:r>
        <w:rPr>
          <w:rFonts w:eastAsia="Calibri" w:cs="Arial"/>
          <w:b/>
        </w:rPr>
        <w:t>Relatório:</w:t>
      </w:r>
    </w:p>
    <w:p w:rsidR="004B7D0F" w:rsidRDefault="004B7D0F">
      <w:pPr>
        <w:tabs>
          <w:tab w:val="left" w:pos="1418"/>
          <w:tab w:val="left" w:pos="5059"/>
        </w:tabs>
        <w:spacing w:after="0" w:line="240" w:lineRule="auto"/>
        <w:jc w:val="center"/>
        <w:rPr>
          <w:rFonts w:eastAsia="Calibri" w:cs="Arial"/>
          <w:b/>
        </w:rPr>
      </w:pPr>
    </w:p>
    <w:p w:rsidR="004B7D0F" w:rsidRDefault="00EC63A9">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w:t>
      </w:r>
      <w:r>
        <w:rPr>
          <w:rFonts w:eastAsia="Calibri" w:cs="Arial"/>
        </w:rPr>
        <w:t>sentado nesta Casa Legislativa no dia 15 de abril de 2019 e tem como objetivo pedido de autorização para criação do Fundo Municipal de Cultura do Município de Salto do Jacuí.</w:t>
      </w:r>
    </w:p>
    <w:p w:rsidR="004B7D0F" w:rsidRDefault="004B7D0F">
      <w:pPr>
        <w:tabs>
          <w:tab w:val="left" w:pos="1701"/>
          <w:tab w:val="left" w:pos="5059"/>
        </w:tabs>
        <w:spacing w:after="0" w:line="240" w:lineRule="auto"/>
        <w:jc w:val="both"/>
        <w:rPr>
          <w:rFonts w:eastAsia="Calibri" w:cs="Arial"/>
          <w:b/>
        </w:rPr>
      </w:pPr>
    </w:p>
    <w:p w:rsidR="004B7D0F" w:rsidRDefault="00EC63A9">
      <w:pPr>
        <w:tabs>
          <w:tab w:val="left" w:pos="1418"/>
          <w:tab w:val="left" w:pos="5059"/>
        </w:tabs>
        <w:spacing w:after="0" w:line="240" w:lineRule="auto"/>
        <w:jc w:val="center"/>
        <w:rPr>
          <w:rFonts w:eastAsia="Calibri" w:cs="Arial"/>
          <w:b/>
        </w:rPr>
      </w:pPr>
      <w:r>
        <w:rPr>
          <w:rFonts w:eastAsia="Calibri" w:cs="Arial"/>
          <w:b/>
        </w:rPr>
        <w:t>Análise:</w:t>
      </w:r>
    </w:p>
    <w:p w:rsidR="004B7D0F" w:rsidRDefault="004B7D0F">
      <w:pPr>
        <w:tabs>
          <w:tab w:val="left" w:pos="1418"/>
          <w:tab w:val="left" w:pos="5059"/>
        </w:tabs>
        <w:spacing w:after="0" w:line="240" w:lineRule="auto"/>
        <w:jc w:val="center"/>
        <w:rPr>
          <w:rFonts w:eastAsia="Calibri" w:cs="Arial"/>
          <w:b/>
        </w:rPr>
      </w:pPr>
    </w:p>
    <w:p w:rsidR="004B7D0F" w:rsidRDefault="00EC63A9">
      <w:pPr>
        <w:tabs>
          <w:tab w:val="left" w:pos="1701"/>
          <w:tab w:val="left" w:pos="5059"/>
        </w:tabs>
        <w:spacing w:after="0" w:line="240" w:lineRule="auto"/>
        <w:jc w:val="both"/>
        <w:rPr>
          <w:rFonts w:eastAsia="Calibri" w:cs="Arial"/>
        </w:rPr>
      </w:pPr>
      <w:r>
        <w:rPr>
          <w:rFonts w:eastAsia="Calibri" w:cs="Arial"/>
        </w:rPr>
        <w:t>2.</w:t>
      </w:r>
      <w:r>
        <w:rPr>
          <w:rFonts w:eastAsia="Calibri" w:cs="Arial"/>
        </w:rPr>
        <w:tab/>
        <w:t>São características necessárias para que os Fundos financeiros espe</w:t>
      </w:r>
      <w:r>
        <w:rPr>
          <w:rFonts w:eastAsia="Calibri" w:cs="Arial"/>
        </w:rPr>
        <w:t>ciais possam prosperar, além das receitas específicas, encontram-se: vinculação à realização de determinados objetivos ou serviços; normas peculiares de aplicação; vinculação a determinado órgão da Administração; descentralização interna do processo decisó</w:t>
      </w:r>
      <w:r>
        <w:rPr>
          <w:rFonts w:eastAsia="Calibri" w:cs="Arial"/>
        </w:rPr>
        <w:t xml:space="preserve">rio e plano de aplicação, contabilidade e prestação de contas específica. </w:t>
      </w:r>
    </w:p>
    <w:p w:rsidR="004B7D0F" w:rsidRDefault="004B7D0F">
      <w:pPr>
        <w:tabs>
          <w:tab w:val="left" w:pos="1701"/>
          <w:tab w:val="left" w:pos="5059"/>
        </w:tabs>
        <w:spacing w:after="0" w:line="240" w:lineRule="auto"/>
        <w:jc w:val="both"/>
        <w:rPr>
          <w:rFonts w:eastAsia="Calibri" w:cs="Arial"/>
        </w:rPr>
      </w:pPr>
    </w:p>
    <w:p w:rsidR="004B7D0F" w:rsidRDefault="00EC63A9">
      <w:pPr>
        <w:tabs>
          <w:tab w:val="left" w:pos="1701"/>
          <w:tab w:val="left" w:pos="5059"/>
        </w:tabs>
        <w:spacing w:after="0" w:line="240" w:lineRule="auto"/>
        <w:ind w:firstLine="1701"/>
        <w:jc w:val="both"/>
        <w:rPr>
          <w:rFonts w:eastAsia="Calibri" w:cs="Arial"/>
        </w:rPr>
      </w:pPr>
      <w:r>
        <w:rPr>
          <w:rFonts w:eastAsia="Calibri" w:cs="Arial"/>
        </w:rPr>
        <w:t>Com efeito, o Fundo deve ser instituído e utilizado para os fins que tecnicamente o justificam, sob pena de sua ilegalidade.</w:t>
      </w:r>
    </w:p>
    <w:p w:rsidR="004B7D0F" w:rsidRDefault="004B7D0F">
      <w:pPr>
        <w:tabs>
          <w:tab w:val="left" w:pos="1701"/>
          <w:tab w:val="left" w:pos="5059"/>
        </w:tabs>
        <w:spacing w:after="0" w:line="240" w:lineRule="auto"/>
        <w:ind w:firstLine="1701"/>
        <w:jc w:val="both"/>
        <w:rPr>
          <w:rFonts w:eastAsia="Calibri" w:cs="Arial"/>
        </w:rPr>
      </w:pPr>
    </w:p>
    <w:p w:rsidR="004B7D0F" w:rsidRDefault="00EC63A9">
      <w:pPr>
        <w:tabs>
          <w:tab w:val="left" w:pos="1701"/>
          <w:tab w:val="left" w:pos="5059"/>
        </w:tabs>
        <w:spacing w:after="0" w:line="240" w:lineRule="auto"/>
        <w:ind w:firstLine="1701"/>
        <w:jc w:val="both"/>
        <w:rPr>
          <w:rFonts w:eastAsia="Calibri" w:cs="Arial"/>
        </w:rPr>
      </w:pPr>
      <w:r>
        <w:rPr>
          <w:rFonts w:eastAsia="Calibri" w:cs="Arial"/>
        </w:rPr>
        <w:t xml:space="preserve">Salienta-se que o inciso V do art. 2º da proposta </w:t>
      </w:r>
      <w:r>
        <w:rPr>
          <w:rFonts w:eastAsia="Calibri" w:cs="Arial"/>
        </w:rPr>
        <w:t>deverá ser suprimido, pois fere o art. 167, IV da Constituição Federal. Assim, opina-se pela exclusão do o inciso V do art. 2º.</w:t>
      </w:r>
    </w:p>
    <w:p w:rsidR="004B7D0F" w:rsidRDefault="004B7D0F">
      <w:pPr>
        <w:tabs>
          <w:tab w:val="left" w:pos="1701"/>
          <w:tab w:val="left" w:pos="5059"/>
        </w:tabs>
        <w:spacing w:after="0" w:line="240" w:lineRule="auto"/>
        <w:jc w:val="both"/>
        <w:rPr>
          <w:rFonts w:eastAsia="Calibri" w:cs="Arial"/>
          <w:b/>
        </w:rPr>
      </w:pPr>
    </w:p>
    <w:p w:rsidR="004B7D0F" w:rsidRDefault="00EC63A9">
      <w:pPr>
        <w:tabs>
          <w:tab w:val="left" w:pos="1418"/>
          <w:tab w:val="left" w:pos="5059"/>
        </w:tabs>
        <w:spacing w:after="0" w:line="240" w:lineRule="auto"/>
        <w:jc w:val="center"/>
        <w:rPr>
          <w:rFonts w:eastAsia="Calibri" w:cs="Arial"/>
          <w:b/>
        </w:rPr>
      </w:pPr>
      <w:r>
        <w:rPr>
          <w:rFonts w:eastAsia="Calibri" w:cs="Arial"/>
          <w:b/>
        </w:rPr>
        <w:t>Conclusão do Voto:</w:t>
      </w:r>
    </w:p>
    <w:p w:rsidR="004B7D0F" w:rsidRDefault="004B7D0F">
      <w:pPr>
        <w:tabs>
          <w:tab w:val="left" w:pos="1418"/>
          <w:tab w:val="left" w:pos="5059"/>
        </w:tabs>
        <w:spacing w:after="0" w:line="240" w:lineRule="auto"/>
        <w:jc w:val="both"/>
        <w:rPr>
          <w:rFonts w:eastAsia="Calibri" w:cs="Arial"/>
        </w:rPr>
      </w:pPr>
    </w:p>
    <w:p w:rsidR="004B7D0F" w:rsidRDefault="00EC63A9">
      <w:pPr>
        <w:tabs>
          <w:tab w:val="left" w:pos="1701"/>
          <w:tab w:val="left" w:pos="5059"/>
        </w:tabs>
        <w:spacing w:after="0" w:line="240" w:lineRule="auto"/>
        <w:jc w:val="both"/>
        <w:rPr>
          <w:rFonts w:eastAsia="Calibri" w:cs="Arial"/>
        </w:rPr>
      </w:pPr>
      <w:r>
        <w:rPr>
          <w:rFonts w:eastAsia="Calibri" w:cs="Arial"/>
        </w:rPr>
        <w:t>3.</w:t>
      </w:r>
      <w:r>
        <w:rPr>
          <w:rFonts w:eastAsia="Calibri" w:cs="Arial"/>
        </w:rPr>
        <w:tab/>
        <w:t xml:space="preserve">Diante dos fundamentos expostos, esta Relatoria, depois de debate realizado na Comissão disponibiliza o </w:t>
      </w:r>
      <w:r>
        <w:rPr>
          <w:rFonts w:eastAsia="Calibri" w:cs="Arial"/>
        </w:rPr>
        <w:t>presente Voto favorável à tramitação da matéria.</w:t>
      </w:r>
    </w:p>
    <w:p w:rsidR="004B7D0F" w:rsidRDefault="004B7D0F">
      <w:pPr>
        <w:tabs>
          <w:tab w:val="left" w:pos="1701"/>
          <w:tab w:val="left" w:pos="5059"/>
        </w:tabs>
        <w:spacing w:after="0" w:line="240" w:lineRule="auto"/>
        <w:jc w:val="both"/>
        <w:rPr>
          <w:rFonts w:eastAsia="Calibri" w:cs="Arial"/>
        </w:rPr>
      </w:pPr>
    </w:p>
    <w:p w:rsidR="004B7D0F" w:rsidRDefault="004B7D0F">
      <w:pPr>
        <w:tabs>
          <w:tab w:val="left" w:pos="1418"/>
          <w:tab w:val="left" w:pos="5059"/>
        </w:tabs>
        <w:spacing w:after="0" w:line="240" w:lineRule="auto"/>
        <w:jc w:val="both"/>
        <w:rPr>
          <w:rFonts w:eastAsia="Calibri" w:cs="Arial"/>
        </w:rPr>
      </w:pPr>
    </w:p>
    <w:p w:rsidR="004B7D0F" w:rsidRDefault="00EC63A9">
      <w:pPr>
        <w:tabs>
          <w:tab w:val="left" w:pos="1701"/>
          <w:tab w:val="left" w:pos="5059"/>
        </w:tabs>
        <w:spacing w:after="0" w:line="240" w:lineRule="auto"/>
        <w:jc w:val="both"/>
        <w:rPr>
          <w:rFonts w:eastAsia="Calibri" w:cs="Arial"/>
        </w:rPr>
      </w:pPr>
      <w:r>
        <w:rPr>
          <w:rFonts w:eastAsia="Calibri" w:cs="Arial"/>
        </w:rPr>
        <w:tab/>
        <w:t>Sala das Comissões, em 2 de maio de 2019.</w:t>
      </w:r>
    </w:p>
    <w:p w:rsidR="004B7D0F" w:rsidRDefault="00EC63A9">
      <w:pPr>
        <w:tabs>
          <w:tab w:val="left" w:pos="1701"/>
          <w:tab w:val="left" w:pos="5059"/>
        </w:tabs>
        <w:spacing w:after="0" w:line="240" w:lineRule="auto"/>
        <w:jc w:val="both"/>
        <w:rPr>
          <w:rFonts w:eastAsia="Calibri" w:cs="Arial"/>
        </w:rPr>
      </w:pPr>
      <w:r>
        <w:rPr>
          <w:rFonts w:eastAsia="Calibri" w:cs="Arial"/>
        </w:rPr>
        <w:tab/>
      </w:r>
    </w:p>
    <w:p w:rsidR="004B7D0F" w:rsidRDefault="004B7D0F">
      <w:pPr>
        <w:tabs>
          <w:tab w:val="left" w:pos="1701"/>
          <w:tab w:val="left" w:pos="5059"/>
        </w:tabs>
        <w:spacing w:after="0" w:line="240" w:lineRule="auto"/>
        <w:jc w:val="both"/>
        <w:rPr>
          <w:rFonts w:eastAsia="Calibri" w:cs="Arial"/>
        </w:rPr>
      </w:pPr>
    </w:p>
    <w:p w:rsidR="004B7D0F" w:rsidRDefault="00EC63A9">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4B7D0F" w:rsidRDefault="004B7D0F">
      <w:pPr>
        <w:tabs>
          <w:tab w:val="left" w:pos="1418"/>
          <w:tab w:val="left" w:pos="5059"/>
        </w:tabs>
        <w:spacing w:after="0" w:line="240" w:lineRule="auto"/>
        <w:jc w:val="both"/>
        <w:rPr>
          <w:rFonts w:eastAsia="Calibri" w:cs="Arial"/>
        </w:rPr>
      </w:pPr>
    </w:p>
    <w:p w:rsidR="004B7D0F" w:rsidRDefault="004B7D0F">
      <w:pPr>
        <w:tabs>
          <w:tab w:val="left" w:pos="1418"/>
          <w:tab w:val="left" w:pos="5059"/>
        </w:tabs>
        <w:spacing w:after="0" w:line="240" w:lineRule="auto"/>
        <w:jc w:val="both"/>
        <w:rPr>
          <w:rFonts w:eastAsia="Calibri" w:cs="Arial"/>
          <w:b/>
        </w:rPr>
      </w:pPr>
    </w:p>
    <w:p w:rsidR="004B7D0F" w:rsidRDefault="00EC63A9">
      <w:pPr>
        <w:tabs>
          <w:tab w:val="left" w:pos="1418"/>
          <w:tab w:val="left" w:pos="5059"/>
        </w:tabs>
        <w:spacing w:after="0" w:line="240" w:lineRule="auto"/>
        <w:jc w:val="both"/>
        <w:rPr>
          <w:rFonts w:eastAsia="Calibri" w:cs="Arial"/>
          <w:b/>
        </w:rPr>
      </w:pPr>
      <w:r>
        <w:rPr>
          <w:rFonts w:eastAsia="Calibri" w:cs="Arial"/>
          <w:b/>
        </w:rPr>
        <w:t>Pelas conclusões:</w:t>
      </w:r>
    </w:p>
    <w:p w:rsidR="004B7D0F" w:rsidRDefault="004B7D0F">
      <w:pPr>
        <w:tabs>
          <w:tab w:val="left" w:pos="1418"/>
          <w:tab w:val="left" w:pos="5059"/>
        </w:tabs>
        <w:spacing w:after="0" w:line="240" w:lineRule="auto"/>
        <w:jc w:val="both"/>
        <w:rPr>
          <w:rFonts w:eastAsia="Calibri" w:cs="Arial"/>
        </w:rPr>
      </w:pPr>
    </w:p>
    <w:p w:rsidR="004B7D0F" w:rsidRDefault="004B7D0F">
      <w:pPr>
        <w:tabs>
          <w:tab w:val="left" w:pos="1418"/>
          <w:tab w:val="left" w:pos="5059"/>
        </w:tabs>
        <w:spacing w:after="0" w:line="240" w:lineRule="auto"/>
        <w:jc w:val="both"/>
        <w:rPr>
          <w:rFonts w:eastAsia="Calibri" w:cs="Arial"/>
        </w:rPr>
      </w:pPr>
    </w:p>
    <w:p w:rsidR="004B7D0F" w:rsidRDefault="00EC63A9">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4B7D0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A9" w:rsidRDefault="00EC63A9">
      <w:pPr>
        <w:spacing w:after="0" w:line="240" w:lineRule="auto"/>
      </w:pPr>
      <w:r>
        <w:separator/>
      </w:r>
    </w:p>
  </w:endnote>
  <w:endnote w:type="continuationSeparator" w:id="0">
    <w:p w:rsidR="00EC63A9" w:rsidRDefault="00EC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A9" w:rsidRDefault="00EC63A9">
      <w:pPr>
        <w:spacing w:after="0" w:line="240" w:lineRule="auto"/>
      </w:pPr>
      <w:r>
        <w:separator/>
      </w:r>
    </w:p>
  </w:footnote>
  <w:footnote w:type="continuationSeparator" w:id="0">
    <w:p w:rsidR="00EC63A9" w:rsidRDefault="00EC6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0F"/>
    <w:rsid w:val="004B7D0F"/>
    <w:rsid w:val="00D34B45"/>
    <w:rsid w:val="00EC63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6DEFA-FDF9-4B28-98FD-D0447B9E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2019-04-18T12:01:00Z</cp:lastPrinted>
  <dcterms:created xsi:type="dcterms:W3CDTF">2019-12-30T01:26:00Z</dcterms:created>
  <dcterms:modified xsi:type="dcterms:W3CDTF">2019-12-30T01:26:00Z</dcterms:modified>
</cp:coreProperties>
</file>